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rPr>
          <w:sz w:val="19"/>
          <w:szCs w:val="19"/>
        </w:rPr>
      </w:pPr>
      <w:r>
        <w:rPr>
          <w:b/>
          <w:bCs/>
          <w:color w:val="48629A"/>
          <w:spacing w:val="0"/>
          <w:w w:val="100"/>
          <w:position w:val="0"/>
          <w:sz w:val="19"/>
          <w:szCs w:val="19"/>
          <w:shd w:val="clear" w:color="auto" w:fill="auto"/>
          <w:lang w:val="ru-RU" w:eastAsia="ru-RU" w:bidi="ru-RU"/>
        </w:rPr>
        <w:t>УПРАВЛЕНИЕ</w:t>
      </w:r>
    </w:p>
    <w:p>
      <w:pPr>
        <w:pStyle w:val="Style8"/>
        <w:keepNext w:val="0"/>
        <w:keepLines w:val="0"/>
        <w:widowControl w:val="0"/>
        <w:shd w:val="clear" w:color="auto" w:fill="auto"/>
        <w:bidi w:val="0"/>
        <w:spacing w:before="0" w:after="200"/>
        <w:ind w:left="0" w:right="0" w:firstLine="0"/>
        <w:jc w:val="center"/>
        <w:rPr>
          <w:sz w:val="19"/>
          <w:szCs w:val="19"/>
        </w:rPr>
      </w:pPr>
      <w:r>
        <w:rPr>
          <w:b/>
          <w:bCs/>
          <w:color w:val="48629A"/>
          <w:spacing w:val="0"/>
          <w:w w:val="100"/>
          <w:position w:val="0"/>
          <w:sz w:val="19"/>
          <w:szCs w:val="19"/>
          <w:shd w:val="clear" w:color="auto" w:fill="auto"/>
          <w:lang w:val="ru-RU" w:eastAsia="ru-RU" w:bidi="ru-RU"/>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1о61@Га5.§оу.ги</w:t>
      </w:r>
    </w:p>
    <w:p>
      <w:pPr>
        <w:pStyle w:val="Style11"/>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СБ/17037/2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ind w:left="0" w:right="0" w:firstLine="0"/>
        <w:jc w:val="both"/>
        <w:rPr>
          <w:sz w:val="19"/>
          <w:szCs w:val="19"/>
        </w:rPr>
      </w:pPr>
      <w:r>
        <w:rPr>
          <w:color w:val="48629A"/>
          <w:spacing w:val="0"/>
          <w:w w:val="100"/>
          <w:position w:val="0"/>
          <w:sz w:val="19"/>
          <w:szCs w:val="19"/>
          <w:shd w:val="clear" w:color="auto" w:fill="auto"/>
          <w:lang w:val="ru-RU" w:eastAsia="ru-RU" w:bidi="ru-RU"/>
        </w:rPr>
        <w:t xml:space="preserve">На№  от</w:t>
      </w:r>
    </w:p>
    <w:p>
      <w:pPr>
        <w:pStyle w:val="Style15"/>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ООО «Дельтамед»</w:t>
      </w:r>
      <w:bookmarkEnd w:id="2"/>
    </w:p>
    <w:p>
      <w:pPr>
        <w:pStyle w:val="Style15"/>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Заявитель)</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пр-кт Карла Маркса, д. 30/1, оф. 329,</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Новосибирск, Новосибирская область, 630087</w:t>
      </w:r>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оооде11атед@дтаП.сот</w:t>
      </w:r>
    </w:p>
    <w:p>
      <w:pPr>
        <w:pStyle w:val="Style15"/>
        <w:keepNext/>
        <w:keepLines/>
        <w:widowControl w:val="0"/>
        <w:shd w:val="clear" w:color="auto" w:fill="auto"/>
        <w:bidi w:val="0"/>
        <w:spacing w:before="0" w:after="0" w:line="240" w:lineRule="auto"/>
        <w:ind w:left="0" w:right="0" w:firstLine="0"/>
        <w:jc w:val="left"/>
      </w:pPr>
      <w:bookmarkStart w:id="5" w:name="bookmark5"/>
      <w:r>
        <w:rPr>
          <w:color w:val="000000"/>
          <w:spacing w:val="0"/>
          <w:w w:val="100"/>
          <w:position w:val="0"/>
          <w:sz w:val="24"/>
          <w:szCs w:val="24"/>
          <w:shd w:val="clear" w:color="auto" w:fill="auto"/>
          <w:lang w:val="ru-RU" w:eastAsia="ru-RU" w:bidi="ru-RU"/>
        </w:rPr>
        <w:t>ГБУ РО «Центральная городская больница» в г. Каменск-Шахтинском (далее - Заказчик)</w:t>
      </w:r>
      <w:bookmarkEnd w:id="5"/>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пер. Садовый, 3, г. Каменск-Шахтинский, Ростовская область, 347805</w:t>
      </w:r>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сдЬ-сдЬ@уапдех.ш</w:t>
      </w:r>
    </w:p>
    <w:p>
      <w:pPr>
        <w:pStyle w:val="Style15"/>
        <w:keepNext/>
        <w:keepLines/>
        <w:widowControl w:val="0"/>
        <w:shd w:val="clear" w:color="auto" w:fill="auto"/>
        <w:bidi w:val="0"/>
        <w:spacing w:before="0" w:after="0" w:line="240" w:lineRule="auto"/>
        <w:ind w:left="0" w:right="0" w:firstLine="0"/>
        <w:jc w:val="left"/>
      </w:pPr>
      <w:bookmarkStart w:id="7" w:name="bookmark7"/>
      <w:r>
        <w:rPr>
          <w:color w:val="000000"/>
          <w:spacing w:val="0"/>
          <w:w w:val="100"/>
          <w:position w:val="0"/>
          <w:sz w:val="24"/>
          <w:szCs w:val="24"/>
          <w:shd w:val="clear" w:color="auto" w:fill="auto"/>
          <w:lang w:val="ru-RU" w:eastAsia="ru-RU" w:bidi="ru-RU"/>
        </w:rPr>
        <w:t>ООО «РТС-тендер»</w:t>
      </w:r>
      <w:bookmarkEnd w:id="7"/>
    </w:p>
    <w:p>
      <w:pPr>
        <w:pStyle w:val="Style15"/>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Оператор электронной площадки)</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444" w:bottom="1236" w:left="1140" w:header="0" w:footer="3" w:gutter="0"/>
          <w:pgNumType w:start="1"/>
          <w:cols w:num="2" w:space="100"/>
          <w:noEndnote/>
          <w:titlePg/>
          <w:rtlGutter w:val="0"/>
          <w:docGrid w:linePitch="360"/>
        </w:sectPr>
      </w:pPr>
      <w:r>
        <w:rPr>
          <w:color w:val="000000"/>
          <w:spacing w:val="0"/>
          <w:w w:val="100"/>
          <w:position w:val="0"/>
          <w:sz w:val="24"/>
          <w:szCs w:val="24"/>
          <w:shd w:val="clear" w:color="auto" w:fill="auto"/>
          <w:lang w:val="ru-RU" w:eastAsia="ru-RU" w:bidi="ru-RU"/>
        </w:rPr>
        <w:t>ЕтаП: ко@г18-1епдег.ш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34" w:right="0" w:bottom="1181" w:left="0" w:header="0" w:footer="3" w:gutter="0"/>
          <w:cols w:space="720"/>
          <w:noEndnote/>
          <w:rtlGutter w:val="0"/>
          <w:docGrid w:linePitch="360"/>
        </w:sectPr>
      </w:pPr>
    </w:p>
    <w:p>
      <w:pPr>
        <w:pStyle w:val="Style15"/>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РЕШЕНИЕ</w:t>
      </w:r>
      <w:bookmarkEnd w:id="10"/>
    </w:p>
    <w:p>
      <w:pPr>
        <w:pStyle w:val="Style15"/>
        <w:keepNext/>
        <w:keepLines/>
        <w:widowControl w:val="0"/>
        <w:shd w:val="clear" w:color="auto" w:fill="auto"/>
        <w:bidi w:val="0"/>
        <w:spacing w:before="0" w:after="24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по результатам рассмотрения дела</w:t>
        <w:br/>
        <w:t>№061/06/42-3471/2024</w:t>
      </w:r>
      <w:bookmarkEnd w:id="12"/>
    </w:p>
    <w:p>
      <w:pPr>
        <w:pStyle w:val="Style17"/>
        <w:keepNext w:val="0"/>
        <w:keepLines w:val="0"/>
        <w:widowControl w:val="0"/>
        <w:shd w:val="clear" w:color="auto" w:fill="auto"/>
        <w:tabs>
          <w:tab w:pos="8460"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27.09.2024</w:t>
        <w:tab/>
        <w:t>г. Ростов-на-Дону</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7"/>
        <w:keepNext w:val="0"/>
        <w:keepLines w:val="0"/>
        <w:widowControl w:val="0"/>
        <w:shd w:val="clear" w:color="auto" w:fill="auto"/>
        <w:tabs>
          <w:tab w:pos="8803"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7"/>
        <w:keepNext w:val="0"/>
        <w:keepLines w:val="0"/>
        <w:widowControl w:val="0"/>
        <w:shd w:val="clear" w:color="auto" w:fill="auto"/>
        <w:tabs>
          <w:tab w:pos="8460"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7"/>
        <w:keepNext w:val="0"/>
        <w:keepLines w:val="0"/>
        <w:widowControl w:val="0"/>
        <w:shd w:val="clear" w:color="auto" w:fill="auto"/>
        <w:bidi w:val="0"/>
        <w:spacing w:before="0" w:after="0" w:line="240" w:lineRule="auto"/>
        <w:ind w:left="0" w:right="0" w:firstLine="8900"/>
        <w:jc w:val="both"/>
      </w:pPr>
      <w:r>
        <w:rPr>
          <w:color w:val="000000"/>
          <w:spacing w:val="0"/>
          <w:w w:val="100"/>
          <w:position w:val="0"/>
          <w:sz w:val="24"/>
          <w:szCs w:val="24"/>
          <w:shd w:val="clear" w:color="auto" w:fill="auto"/>
          <w:lang w:val="ru-RU" w:eastAsia="ru-RU" w:bidi="ru-RU"/>
        </w:rPr>
        <w:t>А.А. Вертий, рассмотрев дело №061/06/42-3471/2024 по жалобе Заявителя о нарушении Заказчиком при проведении электронного аукциона №0358300048224000155 «Закупка медицинских изделий для отделения рентген-хирургических методов диагностики и лечения» (далее - аукцион, закупка)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Заявителя — Василевского С.А. (доверенность от 25.09.2024), Андрусенко С.П. (доверенность от 26.09.2024), в отсутствие Заказчика, уведомленного надлежащим образом (ходатайств не поступало),</w:t>
      </w:r>
    </w:p>
    <w:p>
      <w:pPr>
        <w:pStyle w:val="Style15"/>
        <w:keepNext/>
        <w:keepLines/>
        <w:widowControl w:val="0"/>
        <w:shd w:val="clear" w:color="auto" w:fill="auto"/>
        <w:bidi w:val="0"/>
        <w:spacing w:before="0" w:after="24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УСТАНОВИЛА:</w:t>
      </w:r>
      <w:bookmarkEnd w:id="14"/>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Ростовское УФАС России поступила жалоба ООО «Дельтамед» на действия ГБУ РО «Центральная городская больница» в г. Каменск-Шахтинском при разработке извещения к электронному аукциону.</w:t>
      </w:r>
    </w:p>
    <w:p>
      <w:pPr>
        <w:pStyle w:val="Style17"/>
        <w:keepNext w:val="0"/>
        <w:keepLines w:val="0"/>
        <w:widowControl w:val="0"/>
        <w:shd w:val="clear" w:color="auto" w:fill="auto"/>
        <w:bidi w:val="0"/>
        <w:spacing w:before="0" w:after="620" w:line="240" w:lineRule="auto"/>
        <w:ind w:left="0" w:right="0" w:firstLine="600"/>
        <w:jc w:val="both"/>
      </w:pPr>
      <w:r>
        <w:rPr>
          <w:color w:val="000000"/>
          <w:spacing w:val="0"/>
          <w:w w:val="100"/>
          <w:position w:val="0"/>
          <w:sz w:val="24"/>
          <w:szCs w:val="24"/>
          <w:shd w:val="clear" w:color="auto" w:fill="auto"/>
          <w:lang w:val="ru-RU" w:eastAsia="ru-RU" w:bidi="ru-RU"/>
        </w:rPr>
        <w:t>Заказчик частично согласился с доводами жалобы, представил пояснения.</w:t>
      </w:r>
    </w:p>
    <w:p>
      <w:pPr>
        <w:pStyle w:val="Style23"/>
        <w:keepNext/>
        <w:keepLines/>
        <w:widowControl w:val="0"/>
        <w:shd w:val="clear" w:color="auto" w:fill="auto"/>
        <w:bidi w:val="0"/>
        <w:spacing w:before="0" w:line="240" w:lineRule="auto"/>
        <w:ind w:left="0" w:right="0" w:firstLine="0"/>
        <w:jc w:val="both"/>
      </w:pPr>
      <w:bookmarkStart w:id="16" w:name="bookmark16"/>
      <w:r>
        <w:rPr>
          <w:color w:val="000000"/>
          <w:spacing w:val="0"/>
          <w:w w:val="100"/>
          <w:position w:val="0"/>
          <w:shd w:val="clear" w:color="auto" w:fill="auto"/>
          <w:lang w:val="ru-RU" w:eastAsia="ru-RU" w:bidi="ru-RU"/>
        </w:rPr>
        <w:t>||||||||||||||||||||||||</w:t>
      </w:r>
      <w:bookmarkEnd w:id="16"/>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rPr>
          <w:color w:val="000080"/>
          <w:spacing w:val="0"/>
          <w:w w:val="100"/>
          <w:position w:val="0"/>
          <w:sz w:val="24"/>
          <w:szCs w:val="24"/>
          <w:shd w:val="clear" w:color="auto" w:fill="auto"/>
          <w:lang w:val="ru-RU" w:eastAsia="ru-RU" w:bidi="ru-RU"/>
        </w:rPr>
        <w:t xml:space="preserve">^^Ж2акиркцдоУ.Ш </w:t>
      </w:r>
      <w:r>
        <w:rPr>
          <w:color w:val="000000"/>
          <w:spacing w:val="0"/>
          <w:w w:val="100"/>
          <w:position w:val="0"/>
          <w:sz w:val="24"/>
          <w:szCs w:val="24"/>
          <w:shd w:val="clear" w:color="auto" w:fill="auto"/>
          <w:lang w:val="ru-RU" w:eastAsia="ru-RU" w:bidi="ru-RU"/>
        </w:rPr>
        <w:t>12.09.2024 размещено извещение о проведении закупки №0358300048224000155, 18.09.2024, 19.09.2024 в него внесены изменения, согласно которым:</w:t>
      </w:r>
    </w:p>
    <w:p>
      <w:pPr>
        <w:pStyle w:val="Style17"/>
        <w:keepNext w:val="0"/>
        <w:keepLines w:val="0"/>
        <w:widowControl w:val="0"/>
        <w:numPr>
          <w:ilvl w:val="0"/>
          <w:numId w:val="1"/>
        </w:numPr>
        <w:shd w:val="clear" w:color="auto" w:fill="auto"/>
        <w:tabs>
          <w:tab w:pos="83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- 23.09.2024 09:00 (МСК);</w:t>
      </w:r>
    </w:p>
    <w:p>
      <w:pPr>
        <w:pStyle w:val="Style17"/>
        <w:keepNext w:val="0"/>
        <w:keepLines w:val="0"/>
        <w:widowControl w:val="0"/>
        <w:numPr>
          <w:ilvl w:val="0"/>
          <w:numId w:val="1"/>
        </w:numPr>
        <w:shd w:val="clear" w:color="auto" w:fill="auto"/>
        <w:tabs>
          <w:tab w:pos="83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1 500 000, 00 руб.</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25.09.2024 №ИЭА1 на участие в закупке подана одна заявка, которая признана соответствующей требованиям извещения.</w:t>
      </w:r>
    </w:p>
    <w:p>
      <w:pPr>
        <w:pStyle w:val="Style17"/>
        <w:keepNext w:val="0"/>
        <w:keepLines w:val="0"/>
        <w:widowControl w:val="0"/>
        <w:numPr>
          <w:ilvl w:val="0"/>
          <w:numId w:val="3"/>
        </w:numPr>
        <w:shd w:val="clear" w:color="auto" w:fill="auto"/>
        <w:tabs>
          <w:tab w:pos="88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доводу жалобы, Заказчиком неправомерно объединена в один лот поставка медицинских изделий, которые не являются расходными по отношению к основному изделию, что не соответствует требованиям постановления Правительства Российской Федерации от 19 апреля 2021 г. ^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 620).</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п.1 ч.2 ст.42 Закона извещение об осуществлении закупки должно содержать описание объекта закупки в соответствии со ст. 33 Закона.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п.1 ч.1 ст.33 Закона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ч.2 ст.33 Закона описание объекта закупки в соответствии с требованиями, указанными в ч.1 ст.33 Закона,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п.5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7"/>
        <w:keepNext w:val="0"/>
        <w:keepLines w:val="0"/>
        <w:widowControl w:val="0"/>
        <w:numPr>
          <w:ilvl w:val="0"/>
          <w:numId w:val="5"/>
        </w:numPr>
        <w:shd w:val="clear" w:color="auto" w:fill="auto"/>
        <w:tabs>
          <w:tab w:pos="83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наименование объекта закупки;</w:t>
      </w:r>
    </w:p>
    <w:p>
      <w:pPr>
        <w:pStyle w:val="Style17"/>
        <w:keepNext w:val="0"/>
        <w:keepLines w:val="0"/>
        <w:widowControl w:val="0"/>
        <w:numPr>
          <w:ilvl w:val="0"/>
          <w:numId w:val="5"/>
        </w:numPr>
        <w:shd w:val="clear" w:color="auto" w:fill="auto"/>
        <w:tabs>
          <w:tab w:pos="802"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п.2 ч.29 ст.34 Закона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Пунктом 1 Постановления ^ 620 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pPr>
        <w:pStyle w:val="Style17"/>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извещением об осуществлении закупки начальная (максимальная) цена контракта настоящей закупки составляет 1 500 000,00 руб.</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приложению ^ 1 к приказу Министерства здравоохранения Российской Федерации от 6 июня 2012 года ^ 4н "Об утверждении номенклатурной классификации медицинских изделий" (далее - Номенклатурная классификация) номенклатурная классификация медицинских изделий по видам (далее - классификация) содержит числовое обозначение вида медицинского изделия - идентификационный уникальный номер записи*,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pPr>
        <w:pStyle w:val="Style17"/>
        <w:keepNext w:val="0"/>
        <w:keepLines w:val="0"/>
        <w:widowControl w:val="0"/>
        <w:numPr>
          <w:ilvl w:val="0"/>
          <w:numId w:val="7"/>
        </w:numPr>
        <w:shd w:val="clear" w:color="auto" w:fill="auto"/>
        <w:tabs>
          <w:tab w:pos="85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Фиксируется начальное значение 100000 и для каждой последующей записи значение увеличивается на 10.</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2 Постановления ^ 620 определено, что указанное в пункте 1 Постановления ^ 620 требование не распространяется на закупки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Федерации, а также на закупки медицинских изделий, объединенных в один лот (контракт) с расходными материалами, которые предусмотрены производителем (изготовителем) для использования данных медицинских изделий.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извещением, объектом закупки является поставка медицинских изделий для отделения рентген-хирургических методов диагностики и лечения.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описанию объекта закупки предусмотрена поставка следующих товаров (материалов);</w:t>
      </w:r>
    </w:p>
    <w:p>
      <w:pPr>
        <w:pStyle w:val="Style17"/>
        <w:keepNext w:val="0"/>
        <w:keepLines w:val="0"/>
        <w:widowControl w:val="0"/>
        <w:numPr>
          <w:ilvl w:val="0"/>
          <w:numId w:val="7"/>
        </w:numPr>
        <w:shd w:val="clear" w:color="auto" w:fill="auto"/>
        <w:tabs>
          <w:tab w:pos="139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Стенты для коронарных артерий, выделяющих лекарственное средство.</w:t>
      </w:r>
    </w:p>
    <w:p>
      <w:pPr>
        <w:pStyle w:val="Style17"/>
        <w:keepNext w:val="0"/>
        <w:keepLines w:val="0"/>
        <w:widowControl w:val="0"/>
        <w:numPr>
          <w:ilvl w:val="0"/>
          <w:numId w:val="7"/>
        </w:numPr>
        <w:shd w:val="clear" w:color="auto" w:fill="auto"/>
        <w:tabs>
          <w:tab w:pos="814" w:val="left"/>
          <w:tab w:pos="4354" w:val="right"/>
          <w:tab w:pos="4543" w:val="left"/>
          <w:tab w:pos="6593" w:val="left"/>
          <w:tab w:pos="10171" w:val="righ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Катетер баллонный для коронарной ангиопластики Код позиции НКМИ 136170 (Катетер баллонный стандартный для коронарной ангиопластики) Коды позиции КТРУ 32.50.13.110-00732, 32.50.13.110-00663,</w:t>
        <w:tab/>
        <w:t>32.50.13.110-00661,</w:t>
        <w:tab/>
        <w:t>32.50.13.110-00603,</w:t>
        <w:tab/>
        <w:t>32.50.13.110-00663,</w:t>
        <w:tab/>
        <w:t>32.50.13.110</w:t>
        <w:softHyphen/>
      </w:r>
    </w:p>
    <w:p>
      <w:pPr>
        <w:pStyle w:val="Style17"/>
        <w:keepNext w:val="0"/>
        <w:keepLines w:val="0"/>
        <w:widowControl w:val="0"/>
        <w:shd w:val="clear" w:color="auto" w:fill="auto"/>
        <w:tabs>
          <w:tab w:pos="4354" w:val="right"/>
          <w:tab w:pos="4543" w:val="left"/>
          <w:tab w:pos="6593" w:val="left"/>
          <w:tab w:pos="10171" w:val="righ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00665, 32.50.13.110-00664, 32.50.13.110-00605, 32.50.13.110-00575, 32.50.13.110-02066, 32.50.13.110-00635,</w:t>
        <w:tab/>
        <w:t>32.50.13.110-00634,</w:t>
        <w:tab/>
        <w:t>32.50.13.110-00452,</w:t>
        <w:tab/>
        <w:t>32.50.13.110-00451,</w:t>
        <w:tab/>
        <w:t>32.50.13.110</w:t>
        <w:softHyphen/>
      </w:r>
    </w:p>
    <w:p>
      <w:pPr>
        <w:pStyle w:val="Style17"/>
        <w:keepNext w:val="0"/>
        <w:keepLines w:val="0"/>
        <w:widowControl w:val="0"/>
        <w:shd w:val="clear" w:color="auto" w:fill="auto"/>
        <w:tabs>
          <w:tab w:pos="4354" w:val="right"/>
          <w:tab w:pos="4543" w:val="left"/>
          <w:tab w:pos="6593" w:val="left"/>
          <w:tab w:pos="10171" w:val="righ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00601, 32.50.13.110-00422, 32.50.13.110-00420, 32.50.13.110-00545, 32.50.13.110-00484, 32.50.13.110-00695,</w:t>
        <w:tab/>
        <w:t>32.50.13.110-00694,</w:t>
        <w:tab/>
        <w:t>32.50.13.110-00693,</w:t>
        <w:tab/>
        <w:t>32.50.13.110-00483,</w:t>
        <w:tab/>
        <w:t>32.50.13.110</w:t>
        <w:softHyphen/>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00544, 32.50.13.110-00515, 32.50.13.110-00514.</w:t>
      </w:r>
    </w:p>
    <w:p>
      <w:pPr>
        <w:pStyle w:val="Style17"/>
        <w:keepNext w:val="0"/>
        <w:keepLines w:val="0"/>
        <w:widowControl w:val="0"/>
        <w:numPr>
          <w:ilvl w:val="0"/>
          <w:numId w:val="7"/>
        </w:numPr>
        <w:shd w:val="clear" w:color="auto" w:fill="auto"/>
        <w:tabs>
          <w:tab w:pos="81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Катетер внутрисосудистый проводниковый Код позиции НКМИ 131670 (Катетер внутрисосудистый проводниковый, одноразового использования) Код позиции КТРУ 32.50.13.110</w:t>
        <w:softHyphen/>
        <w:t>00005033.</w:t>
      </w:r>
    </w:p>
    <w:p>
      <w:pPr>
        <w:pStyle w:val="Style17"/>
        <w:keepNext w:val="0"/>
        <w:keepLines w:val="0"/>
        <w:widowControl w:val="0"/>
        <w:numPr>
          <w:ilvl w:val="0"/>
          <w:numId w:val="7"/>
        </w:numPr>
        <w:shd w:val="clear" w:color="auto" w:fill="auto"/>
        <w:tabs>
          <w:tab w:pos="81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Проводник для доступа к коронарным/периферическим сосудам Код позиции НКМИ 177900 (Проводник для доступа к коронарным/периферическим сосудам, одноразового использования) Код позиции КТРУ 32.50.13.110-00005072;</w:t>
      </w:r>
    </w:p>
    <w:p>
      <w:pPr>
        <w:pStyle w:val="Style17"/>
        <w:keepNext w:val="0"/>
        <w:keepLines w:val="0"/>
        <w:widowControl w:val="0"/>
        <w:numPr>
          <w:ilvl w:val="0"/>
          <w:numId w:val="7"/>
        </w:numPr>
        <w:shd w:val="clear" w:color="auto" w:fill="auto"/>
        <w:tabs>
          <w:tab w:pos="81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Набор для введения сосудистого катетера Код позиции НКМИ 296690 (Набор для введения сосудистого катетера) Код позиции КТРУ 32.50.13.110-00005130.</w:t>
      </w:r>
    </w:p>
    <w:p>
      <w:pPr>
        <w:pStyle w:val="Style17"/>
        <w:keepNext w:val="0"/>
        <w:keepLines w:val="0"/>
        <w:widowControl w:val="0"/>
        <w:numPr>
          <w:ilvl w:val="0"/>
          <w:numId w:val="7"/>
        </w:numPr>
        <w:shd w:val="clear" w:color="auto" w:fill="auto"/>
        <w:tabs>
          <w:tab w:pos="81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Шприц-манометр для баллонного катетера Код позиции НКМИ 165000 (Шприц-манометр для баллонного катетера, одноразового использования) Код позиции КТРУ 32.50.13.110-00953, 32.50.13.110-00969.</w:t>
      </w:r>
    </w:p>
    <w:p>
      <w:pPr>
        <w:pStyle w:val="Style17"/>
        <w:keepNext w:val="0"/>
        <w:keepLines w:val="0"/>
        <w:widowControl w:val="0"/>
        <w:numPr>
          <w:ilvl w:val="0"/>
          <w:numId w:val="7"/>
        </w:numPr>
        <w:shd w:val="clear" w:color="auto" w:fill="auto"/>
        <w:tabs>
          <w:tab w:pos="81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Катетер аспирационный для тромбэктомии Код позиции НКМИ 210290 (Катетер аспирационный для тромбэктомии) Код позиции КТРУ 32.50.13.110-00005325.</w:t>
      </w:r>
    </w:p>
    <w:p>
      <w:pPr>
        <w:pStyle w:val="Style17"/>
        <w:keepNext w:val="0"/>
        <w:keepLines w:val="0"/>
        <w:widowControl w:val="0"/>
        <w:numPr>
          <w:ilvl w:val="0"/>
          <w:numId w:val="7"/>
        </w:numPr>
        <w:shd w:val="clear" w:color="auto" w:fill="auto"/>
        <w:tabs>
          <w:tab w:pos="81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Катетер ангиографический, одноразового использования Код позиции НКМИ 238780 (Катетер ангиографический, одноразового использования) Код позиции КТРУ 32.50.13.110</w:t>
        <w:softHyphen/>
        <w:t>00005349.</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письме ФАС России ^ МШ/31508/23 от 24.04.2023 содержится вывод о том, что в соответствии с п.2 Постановления ^ 620, при осуществлении закупки медицинских изделий для эндоваскулярной хирургии, медицинские изделия, такие как например: "феморальный интродьюсер","артериальный интродьюсер" (может быть как отдельной позицией, так и в составе "набора для введения сосудистого катетера"), "катетер внутрисосудистый проводниковый, одноразового использования", "проводник для доступа к коронарным/периферическим сосудам, одноразового использования", "катетер балонный стандартный для коронарной ангиопластики", "шприц-манометр для баллонного катетера, одноразового использования", "устройство для введения проводника, устройство для управления и вращения проводника", являющиеся расходными материалами к основному медицинскому изделию "стент для коронарных артерий", могут быть объединены в один лот со стентом для коронарных артерий.</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 письменных пояснений Заказчика следует, что, формируя описание объекта закупки, Заказчик руководствовался как собственной потребностью, так и письмом ФАС России ^ МШ/31508/23 от 24.04.2023, письмом Минздрава России от 22.02.2023^ 25-3/И/2-2789.</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Постановлением Девятнадцатого арбитражного апелляционного суда от 12.01.2024 оставлено в силе Решение Арбитражного суда Курской области от 17.10.2023 по делу №А35- 3445/2023, в котором судом установлено, что включение в один лот закупки стентов для коронарных артерий, выделяющих лекарственное средство и иных медицинских изделий - расходных материалов к таким стентам, позволяет комплексно закупить медицинские изделия и обеспечить условия бесперебойного оказания медицинской помощи пациентам, снизить риск неполной поставки медицинских изделий или поставки несовместимых медицинских изделий и расходных материалов между собой.</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ч.4 ст.106 Закона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заседание Комиссии Ростовского УФАС России представитель Заявителя не представил доказательств включения Заказчиком в 1 лот медицинских изделий, невозможных к использованию в рамках оказания медицинской помощи и не являющихся расходными материалами по отношению к основному изделию при процедуре стентирования.</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Исходя из вышеизложенного, довод жалобы не нашел своего подтверждения и является необоснованным.</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2. Заявитель полагает, что Заказчиком допущены разночтений структурированной формы описания объекта закупки с текстовым форматом описания объекта закупки, приложенным в составе извещения.</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В силу п.5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Во исполнение указанной нормы 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Согласно п.7 Правил,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w:t>
      </w:r>
      <w:r>
        <w:rPr>
          <w:color w:val="000000"/>
          <w:spacing w:val="0"/>
          <w:w w:val="100"/>
          <w:position w:val="0"/>
          <w:sz w:val="24"/>
          <w:szCs w:val="24"/>
          <w:u w:val="single"/>
          <w:shd w:val="clear" w:color="auto" w:fill="auto"/>
          <w:lang w:val="ru-RU" w:eastAsia="ru-RU" w:bidi="ru-RU"/>
        </w:rPr>
        <w:t xml:space="preserve">указываются с использованием единой информационной системы при формировании извещения об осуществлении закупки, </w:t>
      </w:r>
      <w:r>
        <w:rPr>
          <w:color w:val="000000"/>
          <w:spacing w:val="0"/>
          <w:w w:val="100"/>
          <w:position w:val="0"/>
          <w:sz w:val="24"/>
          <w:szCs w:val="24"/>
          <w:shd w:val="clear" w:color="auto" w:fill="auto"/>
          <w:lang w:val="ru-RU" w:eastAsia="ru-RU" w:bidi="ru-RU"/>
        </w:rPr>
        <w:t>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п.п. «б» п.11 Постановления ^ 1946:</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31. </w:t>
      </w:r>
      <w:r>
        <w:rPr>
          <w:color w:val="000000"/>
          <w:spacing w:val="0"/>
          <w:w w:val="100"/>
          <w:position w:val="0"/>
          <w:sz w:val="24"/>
          <w:szCs w:val="24"/>
          <w:u w:val="single"/>
          <w:shd w:val="clear" w:color="auto" w:fill="auto"/>
          <w:lang w:val="ru-RU" w:eastAsia="ru-RU" w:bidi="ru-RU"/>
        </w:rPr>
        <w:t>при формировании предложения участника закупки</w:t>
      </w:r>
      <w:r>
        <w:rPr>
          <w:color w:val="000000"/>
          <w:spacing w:val="0"/>
          <w:w w:val="100"/>
          <w:position w:val="0"/>
          <w:sz w:val="24"/>
          <w:szCs w:val="24"/>
          <w:shd w:val="clear" w:color="auto" w:fill="auto"/>
          <w:lang w:val="ru-RU" w:eastAsia="ru-RU" w:bidi="ru-RU"/>
        </w:rPr>
        <w:t xml:space="preserve"> в отношении объекта закупки, предусмотренного пунктом 2 части 1 статьи 43 Федерального закона, с использованием электронной площадки, специализированной электронной площадки </w:t>
      </w:r>
      <w:r>
        <w:rPr>
          <w:color w:val="000000"/>
          <w:spacing w:val="0"/>
          <w:w w:val="100"/>
          <w:position w:val="0"/>
          <w:sz w:val="24"/>
          <w:szCs w:val="24"/>
          <w:u w:val="single"/>
          <w:shd w:val="clear" w:color="auto" w:fill="auto"/>
          <w:lang w:val="ru-RU" w:eastAsia="ru-RU" w:bidi="ru-RU"/>
        </w:rPr>
        <w:t>формируются</w:t>
      </w:r>
      <w:r>
        <w:rPr>
          <w:color w:val="000000"/>
          <w:spacing w:val="0"/>
          <w:w w:val="100"/>
          <w:position w:val="0"/>
          <w:sz w:val="24"/>
          <w:szCs w:val="24"/>
          <w:shd w:val="clear" w:color="auto" w:fill="auto"/>
          <w:lang w:val="ru-RU" w:eastAsia="ru-RU" w:bidi="ru-RU"/>
        </w:rPr>
        <w:t xml:space="preserve"> наименование страны происхождения товара, товарный знак (при наличии у товара товарного знака), а также </w:t>
      </w:r>
      <w:r>
        <w:rPr>
          <w:color w:val="000000"/>
          <w:spacing w:val="0"/>
          <w:w w:val="100"/>
          <w:position w:val="0"/>
          <w:sz w:val="24"/>
          <w:szCs w:val="24"/>
          <w:u w:val="single"/>
          <w:shd w:val="clear" w:color="auto" w:fill="auto"/>
          <w:lang w:val="ru-RU" w:eastAsia="ru-RU" w:bidi="ru-RU"/>
        </w:rPr>
        <w:t>характеристики предлагаемого участником закупки товара в части характеристик, содержащихся в извещении об осуществлении закупки в соответствии с пунктом 5 части 1 статьи 42 Федерального закона,</w:t>
      </w:r>
      <w:r>
        <w:rPr>
          <w:color w:val="000000"/>
          <w:spacing w:val="0"/>
          <w:w w:val="100"/>
          <w:position w:val="0"/>
          <w:sz w:val="24"/>
          <w:szCs w:val="24"/>
          <w:shd w:val="clear" w:color="auto" w:fill="auto"/>
          <w:lang w:val="ru-RU" w:eastAsia="ru-RU" w:bidi="ru-RU"/>
        </w:rPr>
        <w:t xml:space="preserve"> в приглашении принять участие в определении поставщика (подрядчика, исполнителя) в соответствии с пунктом 1 части 1 статьи 75 Федерального закона соответственно. Такие характеристики размещаются оператором электронной площадки, оператором специализированной электронной площадки в единой информационной системе (без размещения на официальном сайте единой информационной системы) одновременно с размещением протокола подведения итогов определения поставщика (подрядчика, исполнителя).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Изменения, внесенные Постановлением ^ 1946, применяются к закупкам, извещения (приглашения) об осуществлении которых размещены (направлены) с 01.10.2023.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соответствии с ч.1 ст.34 Закона контракт </w:t>
      </w:r>
      <w:r>
        <w:rPr>
          <w:color w:val="000000"/>
          <w:spacing w:val="0"/>
          <w:w w:val="100"/>
          <w:position w:val="0"/>
          <w:sz w:val="24"/>
          <w:szCs w:val="24"/>
          <w:u w:val="single"/>
          <w:shd w:val="clear" w:color="auto" w:fill="auto"/>
          <w:lang w:val="ru-RU" w:eastAsia="ru-RU" w:bidi="ru-RU"/>
        </w:rPr>
        <w:t>заключается на условиях, предусмотренных извещением об осуществлении закупки</w:t>
      </w:r>
      <w:r>
        <w:rPr>
          <w:color w:val="000000"/>
          <w:spacing w:val="0"/>
          <w:w w:val="100"/>
          <w:position w:val="0"/>
          <w:sz w:val="24"/>
          <w:szCs w:val="24"/>
          <w:shd w:val="clear" w:color="auto" w:fill="auto"/>
          <w:lang w:val="ru-RU" w:eastAsia="ru-RU" w:bidi="ru-RU"/>
        </w:rPr>
        <w:t xml:space="preserve"> или приглашением, документацией о закупке, </w:t>
      </w:r>
      <w:r>
        <w:rPr>
          <w:color w:val="000000"/>
          <w:spacing w:val="0"/>
          <w:w w:val="100"/>
          <w:position w:val="0"/>
          <w:sz w:val="24"/>
          <w:szCs w:val="24"/>
          <w:u w:val="single"/>
          <w:shd w:val="clear" w:color="auto" w:fill="auto"/>
          <w:lang w:val="ru-RU" w:eastAsia="ru-RU" w:bidi="ru-RU"/>
        </w:rPr>
        <w:t>заявкой участника закупки, с которым заключается контракт,</w:t>
      </w:r>
      <w:r>
        <w:rPr>
          <w:color w:val="000000"/>
          <w:spacing w:val="0"/>
          <w:w w:val="100"/>
          <w:position w:val="0"/>
          <w:sz w:val="24"/>
          <w:szCs w:val="24"/>
          <w:shd w:val="clear" w:color="auto" w:fill="auto"/>
          <w:lang w:val="ru-RU" w:eastAsia="ru-RU" w:bidi="ru-RU"/>
        </w:rPr>
        <w:t xml:space="preserve">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w:t>
      </w:r>
      <w:r>
        <w:fldChar w:fldCharType="begin"/>
      </w:r>
      <w:r>
        <w:rPr/>
        <w:instrText> HYPERLINK "https://www.consultant.ru/document/cons_doc_LAW_483131/e7bf3fbecc42f2b992c4a2fc6e93c54d4b4979b1/%23dst1178" </w:instrText>
      </w:r>
      <w:r>
        <w:fldChar w:fldCharType="separate"/>
      </w:r>
      <w:r>
        <w:rPr>
          <w:color w:val="000000"/>
          <w:spacing w:val="0"/>
          <w:w w:val="100"/>
          <w:position w:val="0"/>
          <w:sz w:val="24"/>
          <w:szCs w:val="24"/>
          <w:shd w:val="clear" w:color="auto" w:fill="auto"/>
          <w:lang w:val="ru-RU" w:eastAsia="ru-RU" w:bidi="ru-RU"/>
        </w:rPr>
        <w:t xml:space="preserve">частью 24 статьи 22 </w:t>
      </w:r>
      <w:r>
        <w:fldChar w:fldCharType="end"/>
      </w:r>
      <w:r>
        <w:rPr>
          <w:color w:val="000000"/>
          <w:spacing w:val="0"/>
          <w:w w:val="100"/>
          <w:position w:val="0"/>
          <w:sz w:val="24"/>
          <w:szCs w:val="24"/>
          <w:shd w:val="clear" w:color="auto" w:fill="auto"/>
          <w:lang w:val="ru-RU" w:eastAsia="ru-RU" w:bidi="ru-RU"/>
        </w:rPr>
        <w:t>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Обозрев структурированную форму извещения и электронный документ «Описание объекта закупки», Комиссией установлено следующее.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Позиция 182 структурированного описания объекта закупки содержит следующую характеристику и ее значение </w:t>
      </w:r>
      <w:r>
        <w:rPr>
          <w:i/>
          <w:iCs/>
          <w:color w:val="000000"/>
          <w:spacing w:val="0"/>
          <w:w w:val="100"/>
          <w:position w:val="0"/>
          <w:sz w:val="24"/>
          <w:szCs w:val="24"/>
          <w:shd w:val="clear" w:color="auto" w:fill="auto"/>
          <w:lang w:val="ru-RU" w:eastAsia="ru-RU" w:bidi="ru-RU"/>
        </w:rPr>
        <w:t>«Предел давления для катетера — кинопаскаль</w:t>
      </w:r>
      <w:r>
        <w:rPr>
          <w:color w:val="000000"/>
          <w:spacing w:val="0"/>
          <w:w w:val="100"/>
          <w:position w:val="0"/>
          <w:sz w:val="24"/>
          <w:szCs w:val="24"/>
          <w:shd w:val="clear" w:color="auto" w:fill="auto"/>
          <w:lang w:val="ru-RU" w:eastAsia="ru-RU" w:bidi="ru-RU"/>
        </w:rPr>
        <w:t xml:space="preserve">». В то же время, в текстовой форме описания объекта закупки по указанной позиции установлено — </w:t>
      </w:r>
      <w:r>
        <w:rPr>
          <w:i/>
          <w:iCs/>
          <w:color w:val="000000"/>
          <w:spacing w:val="0"/>
          <w:w w:val="100"/>
          <w:position w:val="0"/>
          <w:sz w:val="24"/>
          <w:szCs w:val="24"/>
          <w:shd w:val="clear" w:color="auto" w:fill="auto"/>
          <w:lang w:val="ru-RU" w:eastAsia="ru-RU" w:bidi="ru-RU"/>
        </w:rPr>
        <w:t xml:space="preserve">«Предел давления для катетера — </w:t>
      </w:r>
      <w:r>
        <w:rPr>
          <w:b/>
          <w:bCs/>
          <w:i/>
          <w:iCs/>
          <w:color w:val="000000"/>
          <w:spacing w:val="0"/>
          <w:w w:val="100"/>
          <w:position w:val="0"/>
          <w:sz w:val="24"/>
          <w:szCs w:val="24"/>
          <w:u w:val="single"/>
          <w:shd w:val="clear" w:color="auto" w:fill="auto"/>
          <w:lang w:val="ru-RU" w:eastAsia="ru-RU" w:bidi="ru-RU"/>
        </w:rPr>
        <w:t xml:space="preserve">&gt; 8000 </w:t>
      </w:r>
      <w:r>
        <w:rPr>
          <w:i/>
          <w:iCs/>
          <w:color w:val="000000"/>
          <w:spacing w:val="0"/>
          <w:w w:val="100"/>
          <w:position w:val="0"/>
          <w:sz w:val="24"/>
          <w:szCs w:val="24"/>
          <w:shd w:val="clear" w:color="auto" w:fill="auto"/>
          <w:lang w:val="ru-RU" w:eastAsia="ru-RU" w:bidi="ru-RU"/>
        </w:rPr>
        <w:t>килопаскаль».</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Исходя из изложенного, действия Заказчика по формированию положений извещения подобным образом создают дополнительные препятствия для участников при подаче заявки на участие в закупке и являются нарушением ч.2 ст.42 Закона. Довод жалобы обоснован.</w:t>
      </w:r>
    </w:p>
    <w:p>
      <w:pPr>
        <w:pStyle w:val="Style17"/>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В рамках проведения в соответствии с ч.15 ст.99 Закона внеплановой проверки Комиссией Ростовского УФАС России установлено следующее.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ч.3 ст.14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частью 3 части 14 Закона о контрактной системе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Во исполнение ч.3 ст.14 Закона принято Постановление ^ 102, которым установлен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Примечанием к Перечню установлено:</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&lt;*&gt; При применении настоящего перечня следует руководствоваться </w:t>
      </w:r>
      <w:r>
        <w:rPr>
          <w:color w:val="000000"/>
          <w:spacing w:val="0"/>
          <w:w w:val="100"/>
          <w:position w:val="0"/>
          <w:sz w:val="24"/>
          <w:szCs w:val="24"/>
          <w:u w:val="single"/>
          <w:shd w:val="clear" w:color="auto" w:fill="auto"/>
          <w:lang w:val="ru-RU" w:eastAsia="ru-RU" w:bidi="ru-RU"/>
        </w:rPr>
        <w:t>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Примечанием четко определено, что для определения соответствия закупаемого товара положениям Постановлению ^ 102 необходимо выполнение одновременно 2 (двух) условий — соответствие кода ОКПД2 (графа 1) и наименования вида медицинского изделия (графа 2).</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Изложенная правовая позиция подтверждается Министерством финансов Российской Федерации в письме от 26.08.2021 №24-06-06/68799, письме от 30.03.2020 №24-03-08/25087, от 17.02.2020 №24-03-07/10737.</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в извещении установлены ограничения допуска в соответствии с Постановлением ^ 102. При этом, закупаемые товары не включены в Перечень, соответственно, не подпадают под действие Постановления ^ 102.</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связи с чем, действия Заказчика являются нарушением ч.3 ст.14 Закона.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5"/>
        <w:keepNext/>
        <w:keepLines/>
        <w:widowControl w:val="0"/>
        <w:shd w:val="clear" w:color="auto" w:fill="auto"/>
        <w:bidi w:val="0"/>
        <w:spacing w:before="0" w:after="240" w:line="240" w:lineRule="auto"/>
        <w:ind w:left="0" w:right="0" w:firstLine="0"/>
        <w:jc w:val="center"/>
      </w:pPr>
      <w:bookmarkStart w:id="18" w:name="bookmark18"/>
      <w:r>
        <w:rPr>
          <w:color w:val="000000"/>
          <w:spacing w:val="0"/>
          <w:w w:val="100"/>
          <w:position w:val="0"/>
          <w:sz w:val="24"/>
          <w:szCs w:val="24"/>
          <w:shd w:val="clear" w:color="auto" w:fill="auto"/>
          <w:lang w:val="ru-RU" w:eastAsia="ru-RU" w:bidi="ru-RU"/>
        </w:rPr>
        <w:t>РЕШИЛА:</w:t>
      </w:r>
      <w:bookmarkEnd w:id="18"/>
    </w:p>
    <w:p>
      <w:pPr>
        <w:pStyle w:val="Style17"/>
        <w:keepNext w:val="0"/>
        <w:keepLines w:val="0"/>
        <w:widowControl w:val="0"/>
        <w:numPr>
          <w:ilvl w:val="0"/>
          <w:numId w:val="9"/>
        </w:numPr>
        <w:shd w:val="clear" w:color="auto" w:fill="auto"/>
        <w:tabs>
          <w:tab w:pos="708" w:val="left"/>
        </w:tabs>
        <w:bidi w:val="0"/>
        <w:spacing w:before="0" w:after="0" w:line="240" w:lineRule="auto"/>
        <w:ind w:left="0" w:right="0" w:firstLine="300"/>
        <w:jc w:val="both"/>
      </w:pPr>
      <w:r>
        <w:rPr>
          <w:color w:val="000000"/>
          <w:spacing w:val="0"/>
          <w:w w:val="100"/>
          <w:position w:val="0"/>
          <w:sz w:val="24"/>
          <w:szCs w:val="24"/>
          <w:shd w:val="clear" w:color="auto" w:fill="auto"/>
          <w:lang w:val="ru-RU" w:eastAsia="ru-RU" w:bidi="ru-RU"/>
        </w:rPr>
        <w:t>Признать жалобу Заявителя частично обоснованной.</w:t>
      </w:r>
    </w:p>
    <w:p>
      <w:pPr>
        <w:pStyle w:val="Style17"/>
        <w:keepNext w:val="0"/>
        <w:keepLines w:val="0"/>
        <w:widowControl w:val="0"/>
        <w:numPr>
          <w:ilvl w:val="0"/>
          <w:numId w:val="9"/>
        </w:numPr>
        <w:shd w:val="clear" w:color="auto" w:fill="auto"/>
        <w:tabs>
          <w:tab w:pos="708" w:val="left"/>
        </w:tabs>
        <w:bidi w:val="0"/>
        <w:spacing w:before="0" w:after="240" w:line="240" w:lineRule="auto"/>
        <w:ind w:left="0" w:right="0" w:firstLine="300"/>
        <w:jc w:val="both"/>
      </w:pPr>
      <w:r>
        <w:rPr>
          <w:color w:val="000000"/>
          <w:spacing w:val="0"/>
          <w:w w:val="100"/>
          <w:position w:val="0"/>
          <w:sz w:val="24"/>
          <w:szCs w:val="24"/>
          <w:shd w:val="clear" w:color="auto" w:fill="auto"/>
          <w:lang w:val="ru-RU" w:eastAsia="ru-RU" w:bidi="ru-RU"/>
        </w:rPr>
        <w:t>Признать Заказчика нарушившим ч.3 ст.14, ч.2 ст.42 Закона.</w:t>
      </w:r>
      <w:r>
        <w:br w:type="page"/>
      </w:r>
    </w:p>
    <w:p>
      <w:pPr>
        <w:pStyle w:val="Style17"/>
        <w:keepNext w:val="0"/>
        <w:keepLines w:val="0"/>
        <w:widowControl w:val="0"/>
        <w:numPr>
          <w:ilvl w:val="0"/>
          <w:numId w:val="9"/>
        </w:numPr>
        <w:shd w:val="clear" w:color="auto" w:fill="auto"/>
        <w:tabs>
          <w:tab w:pos="720" w:val="left"/>
        </w:tabs>
        <w:bidi w:val="0"/>
        <w:spacing w:before="0" w:after="0" w:line="240" w:lineRule="auto"/>
        <w:ind w:left="0" w:right="0" w:firstLine="300"/>
        <w:jc w:val="both"/>
      </w:pPr>
      <w:r>
        <w:rPr>
          <w:color w:val="000000"/>
          <w:spacing w:val="0"/>
          <w:w w:val="100"/>
          <w:position w:val="0"/>
          <w:sz w:val="24"/>
          <w:szCs w:val="24"/>
          <w:shd w:val="clear" w:color="auto" w:fill="auto"/>
          <w:lang w:val="ru-RU" w:eastAsia="ru-RU" w:bidi="ru-RU"/>
        </w:rPr>
        <w:t>Выдать Заказчику, аукционной комиссии Заказчика обязательное для исполнения предписание об отмене всех сформированных протоколов, внесении изменений в извещение в соответствии с требованиями Закона и с учетом настоящего решения.</w:t>
      </w:r>
    </w:p>
    <w:p>
      <w:pPr>
        <w:pStyle w:val="Style17"/>
        <w:keepNext w:val="0"/>
        <w:keepLines w:val="0"/>
        <w:widowControl w:val="0"/>
        <w:numPr>
          <w:ilvl w:val="0"/>
          <w:numId w:val="9"/>
        </w:numPr>
        <w:shd w:val="clear" w:color="auto" w:fill="auto"/>
        <w:tabs>
          <w:tab w:pos="720" w:val="left"/>
        </w:tabs>
        <w:bidi w:val="0"/>
        <w:spacing w:before="0" w:after="240" w:line="240" w:lineRule="auto"/>
        <w:ind w:left="0" w:right="0" w:firstLine="300"/>
        <w:jc w:val="both"/>
      </w:pPr>
      <w:r>
        <w:rPr>
          <w:color w:val="000000"/>
          <w:spacing w:val="0"/>
          <w:w w:val="100"/>
          <w:position w:val="0"/>
          <w:sz w:val="24"/>
          <w:szCs w:val="24"/>
          <w:shd w:val="clear" w:color="auto" w:fill="auto"/>
          <w:lang w:val="ru-RU" w:eastAsia="ru-RU" w:bidi="ru-RU"/>
        </w:rPr>
        <w:t>Рассмотреть вопрос о привлечении виновного должностного лица Заказчика к административной ответственности.</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934" w:right="523" w:bottom="1181" w:left="1090" w:header="0" w:footer="3" w:gutter="0"/>
          <w:cols w:space="720"/>
          <w:noEndnote/>
          <w:rtlGutter w:val="0"/>
          <w:docGrid w:linePitch="360"/>
        </w:sectPr>
      </w:pPr>
      <w:r>
        <mc:AlternateContent>
          <mc:Choice Requires="wps">
            <w:drawing>
              <wp:anchor distT="101600" distB="386715" distL="0" distR="0" simplePos="0" relativeHeight="125829378" behindDoc="0" locked="0" layoutInCell="1" allowOverlap="1">
                <wp:simplePos x="0" y="0"/>
                <wp:positionH relativeFrom="page">
                  <wp:posOffset>737870</wp:posOffset>
                </wp:positionH>
                <wp:positionV relativeFrom="paragraph">
                  <wp:posOffset>101600</wp:posOffset>
                </wp:positionV>
                <wp:extent cx="1584960" cy="219710"/>
                <wp:wrapTopAndBottom/>
                <wp:docPr id="5" name="Shape 5"/>
                <a:graphic xmlns:a="http://schemas.openxmlformats.org/drawingml/2006/main">
                  <a:graphicData uri="http://schemas.microsoft.com/office/word/2010/wordprocessingShape">
                    <wps:wsp>
                      <wps:cNvSpPr txBox="1"/>
                      <wps:spPr>
                        <a:xfrm>
                          <a:ext cx="1584960"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100000000000001pt;margin-top:8.pt;width:124.8pt;height:17.300000000000001pt;z-index:-125829375;mso-wrap-distance-left:0;mso-wrap-distance-top:8.pt;mso-wrap-distance-right:0;mso-wrap-distance-bottom:30.44999999999999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71450" distB="0" distL="0" distR="1786255" simplePos="0" relativeHeight="125829380" behindDoc="0" locked="0" layoutInCell="1" allowOverlap="1">
            <wp:simplePos x="0" y="0"/>
            <wp:positionH relativeFrom="page">
              <wp:posOffset>2661285</wp:posOffset>
            </wp:positionH>
            <wp:positionV relativeFrom="paragraph">
              <wp:posOffset>171450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3118485</wp:posOffset>
                </wp:positionH>
                <wp:positionV relativeFrom="paragraph">
                  <wp:posOffset>574040</wp:posOffset>
                </wp:positionV>
                <wp:extent cx="1280160" cy="100330"/>
                <wp:wrapNone/>
                <wp:docPr id="9" name="Shape 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7E7E7"/>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55000000000001pt;margin-top:45.200000000000003pt;width:100.8pt;height:7.90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7E7E7"/>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3075940</wp:posOffset>
                </wp:positionH>
                <wp:positionV relativeFrom="paragraph">
                  <wp:posOffset>259715</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2.20000000000002pt;margin-top:20.449999999999999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01600" distB="386715" distL="0" distR="0" simplePos="0" relativeHeight="125829381" behindDoc="0" locked="0" layoutInCell="1" allowOverlap="1">
                <wp:simplePos x="0" y="0"/>
                <wp:positionH relativeFrom="page">
                  <wp:posOffset>6306820</wp:posOffset>
                </wp:positionH>
                <wp:positionV relativeFrom="paragraph">
                  <wp:posOffset>101600</wp:posOffset>
                </wp:positionV>
                <wp:extent cx="883920" cy="219710"/>
                <wp:wrapTopAndBottom/>
                <wp:docPr id="13" name="Shape 13"/>
                <a:graphic xmlns:a="http://schemas.openxmlformats.org/drawingml/2006/main">
                  <a:graphicData uri="http://schemas.microsoft.com/office/word/2010/wordprocessingShape">
                    <wps:wsp>
                      <wps:cNvSpPr txBox="1"/>
                      <wps:spPr>
                        <a:xfrm>
                          <a:ext cx="883920"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39" type="#_x0000_t202" style="position:absolute;margin-left:496.60000000000002pt;margin-top:8.pt;width:69.600000000000009pt;height:17.300000000000001pt;z-index:-125829372;mso-wrap-distance-left:0;mso-wrap-distance-top:8.pt;mso-wrap-distance-right:0;mso-wrap-distance-bottom:30.44999999999999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70707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Батурин Сергей Владимирович</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008САВВ0АЕ16А8В7771328С49СЕ9714063</w:t>
      </w:r>
    </w:p>
    <w:p>
      <w:pPr>
        <w:pStyle w:val="Style30"/>
        <w:keepNext w:val="0"/>
        <w:keepLines w:val="0"/>
        <w:widowControl w:val="0"/>
        <w:shd w:val="clear" w:color="auto" w:fill="auto"/>
        <w:bidi w:val="0"/>
        <w:spacing w:before="0" w:after="80" w:line="240" w:lineRule="auto"/>
        <w:ind w:right="0" w:firstLine="0"/>
        <w:jc w:val="left"/>
      </w:pPr>
      <w:r>
        <w:rPr>
          <w:color w:val="70707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707070"/>
          <w:spacing w:val="0"/>
          <w:w w:val="100"/>
          <w:position w:val="0"/>
          <w:shd w:val="clear" w:color="auto" w:fill="auto"/>
          <w:lang w:val="ru-RU" w:eastAsia="ru-RU" w:bidi="ru-RU"/>
        </w:rPr>
        <w:t xml:space="preserve">02.10.2023 по </w:t>
      </w:r>
      <w:r>
        <w:rPr>
          <w:spacing w:val="0"/>
          <w:w w:val="100"/>
          <w:position w:val="0"/>
          <w:shd w:val="clear" w:color="auto" w:fill="auto"/>
          <w:lang w:val="ru-RU" w:eastAsia="ru-RU" w:bidi="ru-RU"/>
        </w:rPr>
        <w:t>25.12.2024</w:t>
      </w:r>
    </w:p>
    <w:p>
      <w:pPr>
        <w:pStyle w:val="Style17"/>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7"/>
        <w:keepNext w:val="0"/>
        <w:keepLines w:val="0"/>
        <w:widowControl w:val="0"/>
        <w:shd w:val="clear" w:color="auto" w:fill="auto"/>
        <w:bidi w:val="0"/>
        <w:spacing w:before="0" w:after="720" w:line="240" w:lineRule="auto"/>
        <w:ind w:left="0" w:right="0" w:firstLine="0"/>
        <w:jc w:val="right"/>
      </w:pPr>
      <w:r>
        <w:drawing>
          <wp:anchor distT="0" distB="0" distL="114300" distR="1903730" simplePos="0" relativeHeight="125829383" behindDoc="0" locked="0" layoutInCell="1" allowOverlap="1">
            <wp:simplePos x="0" y="0"/>
            <wp:positionH relativeFrom="page">
              <wp:posOffset>2686050</wp:posOffset>
            </wp:positionH>
            <wp:positionV relativeFrom="paragraph">
              <wp:posOffset>88900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3146425</wp:posOffset>
                </wp:positionH>
                <wp:positionV relativeFrom="paragraph">
                  <wp:posOffset>488315</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 xml:space="preserve">СВЕДЕНИЯ </w:t>
                            </w:r>
                            <w:r>
                              <w:rPr>
                                <w:rFonts w:ascii="Arial" w:eastAsia="Arial" w:hAnsi="Arial" w:cs="Arial"/>
                                <w:color w:val="E7E7E7"/>
                                <w:spacing w:val="0"/>
                                <w:w w:val="100"/>
                                <w:position w:val="0"/>
                                <w:sz w:val="11"/>
                                <w:szCs w:val="11"/>
                                <w:shd w:val="clear" w:color="auto" w:fill="auto"/>
                                <w:lang w:val="ru-RU" w:eastAsia="ru-RU" w:bidi="ru-RU"/>
                              </w:rPr>
                              <w:t xml:space="preserve">О </w:t>
                            </w:r>
                            <w:r>
                              <w:rPr>
                                <w:rFonts w:ascii="Arial" w:eastAsia="Arial" w:hAnsi="Arial" w:cs="Arial"/>
                                <w:color w:val="FFFFFF"/>
                                <w:spacing w:val="0"/>
                                <w:w w:val="100"/>
                                <w:position w:val="0"/>
                                <w:sz w:val="11"/>
                                <w:szCs w:val="11"/>
                                <w:shd w:val="clear" w:color="auto" w:fill="auto"/>
                                <w:lang w:val="ru-RU" w:eastAsia="ru-RU" w:bidi="ru-RU"/>
                              </w:rPr>
                              <w:t xml:space="preserve">СЕРТИФИКАТЕ </w:t>
                            </w:r>
                            <w:r>
                              <w:rPr>
                                <w:rFonts w:ascii="Arial" w:eastAsia="Arial" w:hAnsi="Arial" w:cs="Arial"/>
                                <w:color w:val="E7E7E7"/>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43" type="#_x0000_t202" style="position:absolute;margin-left:247.75pt;margin-top:38.450000000000003pt;width:101.05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 xml:space="preserve">СВЕДЕНИЯ </w:t>
                      </w:r>
                      <w:r>
                        <w:rPr>
                          <w:rFonts w:ascii="Arial" w:eastAsia="Arial" w:hAnsi="Arial" w:cs="Arial"/>
                          <w:color w:val="E7E7E7"/>
                          <w:spacing w:val="0"/>
                          <w:w w:val="100"/>
                          <w:position w:val="0"/>
                          <w:sz w:val="11"/>
                          <w:szCs w:val="11"/>
                          <w:shd w:val="clear" w:color="auto" w:fill="auto"/>
                          <w:lang w:val="ru-RU" w:eastAsia="ru-RU" w:bidi="ru-RU"/>
                        </w:rPr>
                        <w:t xml:space="preserve">О </w:t>
                      </w:r>
                      <w:r>
                        <w:rPr>
                          <w:rFonts w:ascii="Arial" w:eastAsia="Arial" w:hAnsi="Arial" w:cs="Arial"/>
                          <w:color w:val="FFFFFF"/>
                          <w:spacing w:val="0"/>
                          <w:w w:val="100"/>
                          <w:position w:val="0"/>
                          <w:sz w:val="11"/>
                          <w:szCs w:val="11"/>
                          <w:shd w:val="clear" w:color="auto" w:fill="auto"/>
                          <w:lang w:val="ru-RU" w:eastAsia="ru-RU" w:bidi="ru-RU"/>
                        </w:rPr>
                        <w:t xml:space="preserve">СЕРТИФИКАТЕ </w:t>
                      </w:r>
                      <w:r>
                        <w:rPr>
                          <w:rFonts w:ascii="Arial" w:eastAsia="Arial" w:hAnsi="Arial" w:cs="Arial"/>
                          <w:color w:val="E7E7E7"/>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3100705</wp:posOffset>
                </wp:positionH>
                <wp:positionV relativeFrom="paragraph">
                  <wp:posOffset>177165</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4.15000000000001pt;margin-top:13.950000000000001pt;width:135.84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5B5B5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Кириленко Вероника Дмитриевна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ООЕЗАСАО0595О8Е8О151</w:t>
      </w:r>
      <w:r>
        <w:rPr>
          <w:color w:val="5B5B5B"/>
          <w:spacing w:val="0"/>
          <w:w w:val="100"/>
          <w:position w:val="0"/>
          <w:shd w:val="clear" w:color="auto" w:fill="auto"/>
          <w:lang w:val="ru-RU" w:eastAsia="ru-RU" w:bidi="ru-RU"/>
        </w:rPr>
        <w:t>9С558Е46735964</w:t>
      </w:r>
    </w:p>
    <w:p>
      <w:pPr>
        <w:pStyle w:val="Style30"/>
        <w:keepNext w:val="0"/>
        <w:keepLines w:val="0"/>
        <w:widowControl w:val="0"/>
        <w:shd w:val="clear" w:color="auto" w:fill="auto"/>
        <w:bidi w:val="0"/>
        <w:spacing w:before="0" w:after="0" w:line="240" w:lineRule="auto"/>
        <w:ind w:right="0" w:firstLine="0"/>
        <w:jc w:val="left"/>
      </w:pPr>
      <w:r>
        <w:rPr>
          <w:color w:val="70707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707070"/>
          <w:spacing w:val="0"/>
          <w:w w:val="100"/>
          <w:position w:val="0"/>
          <w:shd w:val="clear" w:color="auto" w:fill="auto"/>
          <w:lang w:val="ru-RU" w:eastAsia="ru-RU" w:bidi="ru-RU"/>
        </w:rPr>
        <w:t>11.12.2023 по 05.03.2025</w:t>
      </w:r>
    </w:p>
    <w:p>
      <w:pPr>
        <w:pStyle w:val="Style17"/>
        <w:keepNext w:val="0"/>
        <w:keepLines w:val="0"/>
        <w:widowControl w:val="0"/>
        <w:shd w:val="clear" w:color="auto" w:fill="auto"/>
        <w:bidi w:val="0"/>
        <w:spacing w:before="0" w:after="510" w:line="240" w:lineRule="auto"/>
        <w:ind w:left="0" w:right="0" w:firstLine="0"/>
        <w:jc w:val="center"/>
      </w:pPr>
      <w:r>
        <w:drawing>
          <wp:anchor distT="0" distB="0" distL="114300" distR="1903730" simplePos="0" relativeHeight="125829384" behindDoc="0" locked="0" layoutInCell="1" allowOverlap="1">
            <wp:simplePos x="0" y="0"/>
            <wp:positionH relativeFrom="page">
              <wp:posOffset>2688590</wp:posOffset>
            </wp:positionH>
            <wp:positionV relativeFrom="paragraph">
              <wp:posOffset>114300</wp:posOffset>
            </wp:positionV>
            <wp:extent cx="347345" cy="39624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47345"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3100070</wp:posOffset>
                </wp:positionH>
                <wp:positionV relativeFrom="paragraph">
                  <wp:posOffset>205740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4.09999999999999pt;margin-top:16.199999999999999pt;width:135.84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Вертий</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1"/>
          <w:szCs w:val="11"/>
        </w:rPr>
      </w:pPr>
      <w:r>
        <w:rPr>
          <w:color w:val="E7E7E7"/>
          <w:spacing w:val="0"/>
          <w:w w:val="100"/>
          <w:position w:val="0"/>
          <w:sz w:val="11"/>
          <w:szCs w:val="11"/>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70707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Вертий Анастасия Андреевна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59900524С74694Е541 Е0761</w:t>
      </w:r>
      <w:r>
        <w:rPr>
          <w:color w:val="000000"/>
          <w:spacing w:val="0"/>
          <w:w w:val="100"/>
          <w:position w:val="0"/>
          <w:shd w:val="clear" w:color="auto" w:fill="auto"/>
          <w:lang w:val="ru-RU" w:eastAsia="ru-RU" w:bidi="ru-RU"/>
        </w:rPr>
        <w:t>1</w:t>
      </w:r>
      <w:r>
        <w:rPr>
          <w:spacing w:val="0"/>
          <w:w w:val="100"/>
          <w:position w:val="0"/>
          <w:shd w:val="clear" w:color="auto" w:fill="auto"/>
          <w:lang w:val="ru-RU" w:eastAsia="ru-RU" w:bidi="ru-RU"/>
        </w:rPr>
        <w:t>ВАЕ4944С</w:t>
      </w:r>
    </w:p>
    <w:p>
      <w:pPr>
        <w:pStyle w:val="Style30"/>
        <w:keepNext w:val="0"/>
        <w:keepLines w:val="0"/>
        <w:widowControl w:val="0"/>
        <w:shd w:val="clear" w:color="auto" w:fill="auto"/>
        <w:bidi w:val="0"/>
        <w:spacing w:before="0" w:after="6600" w:line="240" w:lineRule="auto"/>
        <w:ind w:right="0" w:firstLine="0"/>
        <w:jc w:val="left"/>
      </w:pPr>
      <w:r>
        <w:rPr>
          <w:color w:val="707070"/>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12121"/>
          <w:spacing w:val="0"/>
          <w:w w:val="100"/>
          <w:position w:val="0"/>
          <w:shd w:val="clear" w:color="auto" w:fill="auto"/>
          <w:lang w:val="ru-RU" w:eastAsia="ru-RU" w:bidi="ru-RU"/>
        </w:rPr>
        <w:t xml:space="preserve">22.05.2024 </w:t>
      </w:r>
      <w:r>
        <w:rPr>
          <w:color w:val="707070"/>
          <w:spacing w:val="0"/>
          <w:w w:val="100"/>
          <w:position w:val="0"/>
          <w:shd w:val="clear" w:color="auto" w:fill="auto"/>
          <w:lang w:val="ru-RU" w:eastAsia="ru-RU" w:bidi="ru-RU"/>
        </w:rPr>
        <w:t>по 15.08.2025</w:t>
      </w:r>
    </w:p>
    <w:p>
      <w:pPr>
        <w:pStyle w:val="Style3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Исп.Вертий А.А. тел.(863) 240-86-88, вн.061-132</w:t>
      </w:r>
    </w:p>
    <w:sectPr>
      <w:footnotePr>
        <w:pos w:val="pageBottom"/>
        <w:numFmt w:val="decimal"/>
        <w:numRestart w:val="continuous"/>
      </w:footnotePr>
      <w:type w:val="continuous"/>
      <w:pgSz w:w="11900" w:h="16840"/>
      <w:pgMar w:top="1110" w:right="546" w:bottom="106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727710</wp:posOffset>
              </wp:positionH>
              <wp:positionV relativeFrom="page">
                <wp:posOffset>10010140</wp:posOffset>
              </wp:positionV>
              <wp:extent cx="3267710" cy="103505"/>
              <wp:wrapNone/>
              <wp:docPr id="1" name="Shape 1"/>
              <a:graphic xmlns:a="http://schemas.openxmlformats.org/drawingml/2006/main">
                <a:graphicData uri="http://schemas.microsoft.com/office/word/2010/wordprocessingShape">
                  <wps:wsp>
                    <wps:cNvSpPr txBox="1"/>
                    <wps:spPr>
                      <a:xfrm>
                        <a:ext cx="3267710" cy="103505"/>
                      </a:xfrm>
                      <a:prstGeom prst="rect"/>
                      <a:noFill/>
                    </wps:spPr>
                    <wps:txbx>
                      <w:txbxContent>
                        <w:p>
                          <w:pPr>
                            <w:pStyle w:val="Style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2024-19490</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00000000000004pt;margin-top:788.20000000000005pt;width:257.30000000000001pt;height:8.15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2024-19490</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2024-19490</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2024-19490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862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Заголовок №3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38"/>
      <w:szCs w:val="38"/>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484848"/>
      <w:sz w:val="12"/>
      <w:szCs w:val="12"/>
      <w:u w:val="none"/>
    </w:rPr>
  </w:style>
  <w:style w:type="character" w:customStyle="1" w:styleId="CharStyle39">
    <w:name w:val="Основной текст (5)_"/>
    <w:basedOn w:val="DefaultParagraphFont"/>
    <w:link w:val="Style38"/>
    <w:rPr>
      <w:rFonts w:ascii="Times New Roman" w:eastAsia="Times New Roman" w:hAnsi="Times New Roman" w:cs="Times New Roman"/>
      <w:b w:val="0"/>
      <w:bCs w:val="0"/>
      <w:i w:val="0"/>
      <w:iCs w:val="0"/>
      <w:smallCaps w:val="0"/>
      <w:strike w:val="0"/>
      <w:sz w:val="18"/>
      <w:szCs w:val="18"/>
      <w:u w:val="none"/>
    </w:rPr>
  </w:style>
  <w:style w:type="paragraph" w:customStyle="1" w:styleId="Style2">
    <w:name w:val="Основной текст (4)"/>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862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spacing w:line="254"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Заголовок №3"/>
    <w:basedOn w:val="Normal"/>
    <w:link w:val="CharStyle16"/>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3">
    <w:name w:val="Заголовок №1"/>
    <w:basedOn w:val="Normal"/>
    <w:link w:val="CharStyle24"/>
    <w:pPr>
      <w:widowControl w:val="0"/>
      <w:shd w:val="clear" w:color="auto" w:fill="auto"/>
      <w:spacing w:after="440"/>
      <w:outlineLvl w:val="0"/>
    </w:pPr>
    <w:rPr>
      <w:rFonts w:ascii="Arial" w:eastAsia="Arial" w:hAnsi="Arial" w:cs="Arial"/>
      <w:b w:val="0"/>
      <w:bCs w:val="0"/>
      <w:i w:val="0"/>
      <w:iCs w:val="0"/>
      <w:smallCaps w:val="0"/>
      <w:strike w:val="0"/>
      <w:sz w:val="38"/>
      <w:szCs w:val="38"/>
      <w:u w:val="none"/>
    </w:rPr>
  </w:style>
  <w:style w:type="paragraph" w:customStyle="1" w:styleId="Style30">
    <w:name w:val="Основной текст (2)"/>
    <w:basedOn w:val="Normal"/>
    <w:link w:val="CharStyle31"/>
    <w:pPr>
      <w:widowControl w:val="0"/>
      <w:shd w:val="clear" w:color="auto" w:fill="auto"/>
      <w:ind w:left="3100"/>
    </w:pPr>
    <w:rPr>
      <w:rFonts w:ascii="Arial" w:eastAsia="Arial" w:hAnsi="Arial" w:cs="Arial"/>
      <w:b w:val="0"/>
      <w:bCs w:val="0"/>
      <w:i w:val="0"/>
      <w:iCs w:val="0"/>
      <w:smallCaps w:val="0"/>
      <w:strike w:val="0"/>
      <w:color w:val="484848"/>
      <w:sz w:val="12"/>
      <w:szCs w:val="12"/>
      <w:u w:val="none"/>
    </w:rPr>
  </w:style>
  <w:style w:type="paragraph" w:customStyle="1" w:styleId="Style38">
    <w:name w:val="Основной текст (5)"/>
    <w:basedOn w:val="Normal"/>
    <w:link w:val="CharStyle39"/>
    <w:pPr>
      <w:widowControl w:val="0"/>
      <w:shd w:val="clear" w:color="auto" w:fill="auto"/>
      <w:spacing w:after="40"/>
    </w:pPr>
    <w:rPr>
      <w:rFonts w:ascii="Times New Roman" w:eastAsia="Times New Roman" w:hAnsi="Times New Roman" w:cs="Times New Roman"/>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