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2166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2166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5"/>
        <w:keepNext w:val="0"/>
        <w:keepLines w:val="0"/>
        <w:widowControl w:val="0"/>
        <w:shd w:val="clear" w:color="auto" w:fill="auto"/>
        <w:bidi w:val="0"/>
        <w:spacing w:before="0" w:after="160" w:line="240" w:lineRule="auto"/>
        <w:ind w:left="0" w:right="0" w:firstLine="600"/>
        <w:jc w:val="left"/>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380" w:line="240" w:lineRule="auto"/>
        <w:ind w:left="0" w:right="0" w:firstLine="0"/>
        <w:jc w:val="center"/>
      </w:pPr>
      <w:r>
        <w:rPr>
          <w:b/>
          <w:bCs/>
          <w:color w:val="4B6294"/>
          <w:spacing w:val="0"/>
          <w:w w:val="100"/>
          <w:position w:val="0"/>
          <w:shd w:val="clear" w:color="auto" w:fill="auto"/>
          <w:lang w:val="ru-RU" w:eastAsia="ru-RU" w:bidi="ru-RU"/>
        </w:rPr>
        <w:t>УПРАВЛЕНИЕ</w:t>
        <w:br/>
        <w:t>Федеральной антимонопольной службы</w:t>
        <w:br/>
        <w:t>по Смоленской области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Октябрьской Революции, 14а, г. Смоленск, 214000</w:t>
        <w:br/>
        <w:t>тел.(4812) 38-62-22, факс (4812) 38-62-22</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 xml:space="preserve">1о67@Гаа. </w:t>
      </w:r>
      <w:r>
        <w:rPr>
          <w:smallCaps/>
          <w:spacing w:val="0"/>
          <w:w w:val="100"/>
          <w:position w:val="0"/>
          <w:shd w:val="clear" w:color="auto" w:fill="auto"/>
          <w:lang w:val="ru-RU" w:eastAsia="ru-RU" w:bidi="ru-RU"/>
        </w:rPr>
        <w:t>цоу.гн</w:t>
      </w:r>
      <w:r>
        <w:fldChar w:fldCharType="end"/>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02,10,2024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ВШ/4124/2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560" w:line="240" w:lineRule="auto"/>
        <w:ind w:left="0" w:right="0" w:firstLine="0"/>
        <w:jc w:val="left"/>
      </w:pPr>
      <w:r>
        <w:rPr>
          <w:color w:val="4B6294"/>
          <w:spacing w:val="0"/>
          <w:w w:val="100"/>
          <w:position w:val="0"/>
          <w:shd w:val="clear" w:color="auto" w:fill="auto"/>
          <w:lang w:val="ru-RU" w:eastAsia="ru-RU" w:bidi="ru-RU"/>
        </w:rPr>
        <w:t xml:space="preserve">На№  </w:t>
      </w:r>
      <w:r>
        <w:rPr>
          <w:color w:val="848995"/>
          <w:spacing w:val="0"/>
          <w:w w:val="100"/>
          <w:position w:val="0"/>
          <w:shd w:val="clear" w:color="auto" w:fill="auto"/>
          <w:lang w:val="ru-RU" w:eastAsia="ru-RU" w:bidi="ru-RU"/>
        </w:rPr>
        <w:t>от</w:t>
      </w:r>
    </w:p>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20"/>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Муниципальный заказчик:</w:t>
      </w:r>
      <w:bookmarkEnd w:id="2"/>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Муниципальное казенное учреждение «Строитель»</w:t>
      </w:r>
    </w:p>
    <w:p>
      <w:pPr>
        <w:pStyle w:val="Style8"/>
        <w:keepNext w:val="0"/>
        <w:keepLines w:val="0"/>
        <w:widowControl w:val="0"/>
        <w:shd w:val="clear" w:color="auto" w:fill="auto"/>
        <w:bidi w:val="0"/>
        <w:spacing w:before="0" w:line="259" w:lineRule="auto"/>
        <w:ind w:left="0" w:right="0" w:firstLine="0"/>
        <w:jc w:val="left"/>
      </w:pPr>
      <w:r>
        <w:rPr>
          <w:color w:val="000000"/>
          <w:spacing w:val="0"/>
          <w:w w:val="100"/>
          <w:position w:val="0"/>
          <w:shd w:val="clear" w:color="auto" w:fill="auto"/>
          <w:lang w:val="ru-RU" w:eastAsia="ru-RU" w:bidi="ru-RU"/>
        </w:rPr>
        <w:t>ул. Нарвская, д.19, г. Смоленск, 214025 1пГо « хаках67.ги</w:t>
      </w:r>
    </w:p>
    <w:p>
      <w:pPr>
        <w:pStyle w:val="Style20"/>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Уполномоченный орган:</w:t>
      </w:r>
      <w:bookmarkEnd w:id="4"/>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Администрация города Смоленска</w:t>
      </w:r>
    </w:p>
    <w:p>
      <w:pPr>
        <w:pStyle w:val="Style8"/>
        <w:keepNext w:val="0"/>
        <w:keepLines w:val="0"/>
        <w:widowControl w:val="0"/>
        <w:shd w:val="clear" w:color="auto" w:fill="auto"/>
        <w:bidi w:val="0"/>
        <w:spacing w:before="0"/>
        <w:ind w:left="0" w:right="1280" w:firstLine="0"/>
        <w:jc w:val="both"/>
      </w:pPr>
      <w:r>
        <w:rPr>
          <w:color w:val="000000"/>
          <w:spacing w:val="0"/>
          <w:w w:val="100"/>
          <w:position w:val="0"/>
          <w:shd w:val="clear" w:color="auto" w:fill="auto"/>
          <w:lang w:val="ru-RU" w:eastAsia="ru-RU" w:bidi="ru-RU"/>
        </w:rPr>
        <w:t>ул. Октябрьской революции, д. 1/2, г. Смоленск, 214000 щигй 8то1ас1пйп.ги</w:t>
      </w:r>
    </w:p>
    <w:p>
      <w:pPr>
        <w:pStyle w:val="Style20"/>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Заявитель:</w:t>
      </w:r>
      <w:bookmarkEnd w:id="6"/>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«экодом»</w:t>
      </w:r>
    </w:p>
    <w:p>
      <w:pPr>
        <w:pStyle w:val="Style8"/>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ул. Московская, д. 3, помещ. 2/1, г. Москва, 108813</w:t>
      </w:r>
    </w:p>
    <w:p>
      <w:pPr>
        <w:pStyle w:val="Style8"/>
        <w:keepNext w:val="0"/>
        <w:keepLines w:val="0"/>
        <w:widowControl w:val="0"/>
        <w:shd w:val="clear" w:color="auto" w:fill="auto"/>
        <w:bidi w:val="0"/>
        <w:spacing w:before="0" w:after="220"/>
        <w:ind w:left="0" w:right="0" w:firstLine="0"/>
        <w:jc w:val="left"/>
      </w:pPr>
      <w:r>
        <w:rPr>
          <w:color w:val="04007D"/>
          <w:spacing w:val="0"/>
          <w:w w:val="100"/>
          <w:position w:val="0"/>
          <w:u w:val="single"/>
          <w:shd w:val="clear" w:color="auto" w:fill="auto"/>
          <w:lang w:val="ru-RU" w:eastAsia="ru-RU" w:bidi="ru-RU"/>
        </w:rPr>
        <w:t>скос1от97?/таП.ги</w:t>
      </w:r>
    </w:p>
    <w:p>
      <w:pPr>
        <w:pStyle w:val="Style20"/>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Электронная площадка:</w:t>
      </w:r>
      <w:bookmarkEnd w:id="8"/>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pStyle w:val="Style8"/>
        <w:keepNext w:val="0"/>
        <w:keepLines w:val="0"/>
        <w:widowControl w:val="0"/>
        <w:shd w:val="clear" w:color="auto" w:fill="auto"/>
        <w:bidi w:val="0"/>
        <w:spacing w:before="0" w:after="0"/>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1199" w:bottom="1198" w:left="1140" w:header="0" w:footer="3" w:gutter="0"/>
          <w:pgNumType w:start="1"/>
          <w:cols w:num="2" w:space="960"/>
          <w:noEndnote/>
          <w:titlePg/>
          <w:rtlGutter w:val="0"/>
          <w:docGrid w:linePitch="360"/>
        </w:sectPr>
      </w:pPr>
      <w:r>
        <w:rPr>
          <w:color w:val="000000"/>
          <w:spacing w:val="0"/>
          <w:w w:val="100"/>
          <w:position w:val="0"/>
          <w:shd w:val="clear" w:color="auto" w:fill="auto"/>
          <w:lang w:val="ru-RU" w:eastAsia="ru-RU" w:bidi="ru-RU"/>
        </w:rPr>
        <w:t xml:space="preserve">ко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го8е1Юг§.ги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5" w:after="8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87" w:right="0" w:bottom="795"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067/06/31-625/2024 о нарушении</w:t>
        <w:br/>
        <w:t>законодательства Российской Федерации о контрактной системе</w:t>
      </w:r>
    </w:p>
    <w:p>
      <w:pPr>
        <w:pStyle w:val="Style17"/>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6134100</wp:posOffset>
                </wp:positionH>
                <wp:positionV relativeFrom="paragraph">
                  <wp:posOffset>12700</wp:posOffset>
                </wp:positionV>
                <wp:extent cx="862330" cy="204470"/>
                <wp:wrapSquare wrapText="left"/>
                <wp:docPr id="8" name="Shape 8"/>
                <a:graphic xmlns:a="http://schemas.openxmlformats.org/drawingml/2006/main">
                  <a:graphicData uri="http://schemas.microsoft.com/office/word/2010/wordprocessingShape">
                    <wps:wsp>
                      <wps:cNvSpPr txBox="1"/>
                      <wps:spPr>
                        <a:xfrm>
                          <a:ext cx="862330" cy="20447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Смоленск</w:t>
                            </w:r>
                          </w:p>
                        </w:txbxContent>
                      </wps:txbx>
                      <wps:bodyPr wrap="none" lIns="0" tIns="0" rIns="0" bIns="0">
                        <a:noAutoFit/>
                      </wps:bodyPr>
                    </wps:wsp>
                  </a:graphicData>
                </a:graphic>
              </wp:anchor>
            </w:drawing>
          </mc:Choice>
          <mc:Fallback>
            <w:pict>
              <v:shape id="_x0000_s1034" type="#_x0000_t202" style="position:absolute;margin-left:483.pt;margin-top:1.pt;width:67.900000000000006pt;height:16.100000000000001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Смоленск</w:t>
                      </w:r>
                    </w:p>
                  </w:txbxContent>
                </v:textbox>
                <w10:wrap type="square" side="left" anchorx="page"/>
              </v:shape>
            </w:pict>
          </mc:Fallback>
        </mc:AlternateContent>
      </w:r>
      <w:r>
        <w:rPr>
          <w:color w:val="000000"/>
          <w:spacing w:val="0"/>
          <w:w w:val="100"/>
          <w:position w:val="0"/>
          <w:shd w:val="clear" w:color="auto" w:fill="auto"/>
          <w:lang w:val="ru-RU" w:eastAsia="ru-RU" w:bidi="ru-RU"/>
        </w:rPr>
        <w:t>27 сентября 2024 года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Смоленского УФАС России по контролю в сфере закупок (далее - Комиссия) в следующем составе: Заместитель</w:t>
      </w:r>
    </w:p>
    <w:p>
      <w:pPr>
        <w:pStyle w:val="Style17"/>
        <w:keepNext w:val="0"/>
        <w:keepLines w:val="0"/>
        <w:widowControl w:val="0"/>
        <w:shd w:val="clear" w:color="auto" w:fill="auto"/>
        <w:tabs>
          <w:tab w:pos="6060"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председателя Комиссии:</w:t>
        <w:tab/>
        <w:t>- начальник отдела контроля закупок</w:t>
      </w:r>
    </w:p>
    <w:p>
      <w:pPr>
        <w:pStyle w:val="Style17"/>
        <w:keepNext w:val="0"/>
        <w:keepLines w:val="0"/>
        <w:widowControl w:val="0"/>
        <w:shd w:val="clear" w:color="auto" w:fill="auto"/>
        <w:bidi w:val="0"/>
        <w:spacing w:before="0" w:after="0" w:line="240" w:lineRule="auto"/>
        <w:ind w:left="6060" w:right="0" w:firstLine="20"/>
        <w:jc w:val="both"/>
      </w:pPr>
      <w:r>
        <w:rPr>
          <w:color w:val="000000"/>
          <w:spacing w:val="0"/>
          <w:w w:val="100"/>
          <w:position w:val="0"/>
          <w:shd w:val="clear" w:color="auto" w:fill="auto"/>
          <w:lang w:val="ru-RU" w:eastAsia="ru-RU" w:bidi="ru-RU"/>
        </w:rPr>
        <w:t>и антимонопольного контроля органов власти Смоленского УФАС России;</w:t>
      </w:r>
    </w:p>
    <w:p>
      <w:pPr>
        <w:pStyle w:val="Style17"/>
        <w:keepNext w:val="0"/>
        <w:keepLines w:val="0"/>
        <w:widowControl w:val="0"/>
        <w:shd w:val="clear" w:color="auto" w:fill="auto"/>
        <w:tabs>
          <w:tab w:pos="6060" w:val="left"/>
        </w:tabs>
        <w:bidi w:val="0"/>
        <w:spacing w:before="0" w:after="0" w:line="240" w:lineRule="auto"/>
        <w:ind w:left="0" w:right="0" w:firstLine="0"/>
        <w:jc w:val="both"/>
      </w:pPr>
      <w:r>
        <w:rPr>
          <w:color w:val="000000"/>
          <w:spacing w:val="0"/>
          <w:w w:val="100"/>
          <w:position w:val="0"/>
          <w:shd w:val="clear" w:color="auto" w:fill="auto"/>
          <w:lang w:val="ru-RU" w:eastAsia="ru-RU" w:bidi="ru-RU"/>
        </w:rPr>
        <w:t>Члены Комиссии:</w:t>
        <w:tab/>
        <w:t>- специалист-эксперт отдела контроля</w:t>
      </w:r>
    </w:p>
    <w:p>
      <w:pPr>
        <w:pStyle w:val="Style17"/>
        <w:keepNext w:val="0"/>
        <w:keepLines w:val="0"/>
        <w:widowControl w:val="0"/>
        <w:shd w:val="clear" w:color="auto" w:fill="auto"/>
        <w:bidi w:val="0"/>
        <w:spacing w:before="0" w:after="520" w:line="240" w:lineRule="auto"/>
        <w:ind w:left="6060" w:right="0" w:firstLine="20"/>
        <w:jc w:val="both"/>
      </w:pPr>
      <w:r>
        <w:rPr>
          <w:color w:val="000000"/>
          <w:spacing w:val="0"/>
          <w:w w:val="100"/>
          <w:position w:val="0"/>
          <w:shd w:val="clear" w:color="auto" w:fill="auto"/>
          <w:lang w:val="ru-RU" w:eastAsia="ru-RU" w:bidi="ru-RU"/>
        </w:rPr>
        <w:t>закупок и антимонопольного контроля органов власти Смоленского УФАС России; - специалист-эксперт отдела контроля закупок и антимонопольного контроля органов власти Смоленского УФАС России,</w:t>
      </w:r>
    </w:p>
    <w:p>
      <w:pPr>
        <w:pStyle w:val="Style24"/>
        <w:keepNext/>
        <w:keepLines/>
        <w:widowControl w:val="0"/>
        <w:shd w:val="clear" w:color="auto" w:fill="auto"/>
        <w:bidi w:val="0"/>
        <w:spacing w:before="0" w:line="240" w:lineRule="auto"/>
        <w:ind w:left="0" w:right="0" w:firstLine="0"/>
        <w:jc w:val="left"/>
      </w:pPr>
      <w:bookmarkStart w:id="10" w:name="bookmark10"/>
      <w:r>
        <w:rPr>
          <w:color w:val="000000"/>
          <w:spacing w:val="0"/>
          <w:w w:val="100"/>
          <w:position w:val="0"/>
          <w:shd w:val="clear" w:color="auto" w:fill="auto"/>
          <w:lang w:val="ru-RU" w:eastAsia="ru-RU" w:bidi="ru-RU"/>
        </w:rPr>
        <w:t>1111111111111111111111II</w:t>
      </w:r>
      <w:bookmarkEnd w:id="10"/>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дистанционном участии в рассмотрении жалобы представителя заказчика: Новиковой Т.С. (доверенность исх. № 7 от 27.04.2024),</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заявителя, уполномоченного органа извещенных надлежащим образом о дате, времени и месте рассмотрения жалобы;</w:t>
      </w:r>
    </w:p>
    <w:p>
      <w:pPr>
        <w:pStyle w:val="Style17"/>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приказом Смоленского УФАС России от 20.08.2024 № 117/24, в дистанционном режиме жалобу ООО «ЭКОДОМ» (далее также Заявитель, Общество) и проведя внеплановую проверку,</w:t>
      </w:r>
    </w:p>
    <w:p>
      <w:pPr>
        <w:pStyle w:val="Style1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Смоленское УФАС России 22.09.2024 поступила жалоба ООО «ЭКОДОМ», согласно которой Заказчиком при проведении открытого конкурса в электронной форме: «Благоустройство сквера у памятника М.И. Кутузову в городе Смоленске» (извещение № 0163300029424000732), в нарушение требований Закона, в порядке рассмотрения и оценки заявок на участие в конкурсе неправомерно установлен детализирующий показатель.</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Муниципальным заказчиком по данному открытому конкурсу в электронной форме является Муниципальное казенное учреждение «Строитель» (далее - Заказчик), уполномоченным органом - Администрация города Смоленска (далее - уполномоченный орган).</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 представил письменные возражения по существу жалобы, с доводами жалобы не согласился.</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момент рассмотрения жалобы контракт Заказчиком не заключен.</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12.09.2024 уполномоченным органом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\у\у\у.хакирк1.§оу.ги</w:t>
      </w:r>
      <w:r>
        <w:fldChar w:fldCharType="end"/>
      </w:r>
      <w:r>
        <w:rPr>
          <w:color w:val="000000"/>
          <w:spacing w:val="0"/>
          <w:w w:val="100"/>
          <w:position w:val="0"/>
          <w:shd w:val="clear" w:color="auto" w:fill="auto"/>
          <w:lang w:val="ru-RU" w:eastAsia="ru-RU" w:bidi="ru-RU"/>
        </w:rPr>
        <w:t xml:space="preserve"> размещено Извещение № 016330002942400732 о проведении открытого конкурса в электронной форме.</w:t>
      </w:r>
    </w:p>
    <w:p>
      <w:pPr>
        <w:pStyle w:val="Style17"/>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(далее - НМЦК) - 37 158 090,00 руб.</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3 части 1 статьи 3 Закона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Законом порядке заказчиком и направленных на обеспечение государственных или муниципальных нужд.</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 части 2 статьи 42 Закона извещение об осуществлении закупки, если иное не предусмотрено Законом, должно содержать описание объекта закупки в соответствии со статьей 33 Закона.</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пунктам 1, 2 части 1 статьи 33 Закона заказчик в случаях, </w:t>
      </w:r>
      <w:r>
        <w:rPr>
          <w:color w:val="000000"/>
          <w:spacing w:val="0"/>
          <w:w w:val="100"/>
          <w:position w:val="0"/>
          <w:shd w:val="clear" w:color="auto" w:fill="auto"/>
          <w:lang w:val="ru-RU" w:eastAsia="ru-RU" w:bidi="ru-RU"/>
        </w:rPr>
        <w:t>предусмотренных Законом, при описании объекта закупки должен руководствоваться следующими правилами:</w:t>
      </w:r>
    </w:p>
    <w:p>
      <w:pPr>
        <w:pStyle w:val="Style17"/>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(пункт 1);</w:t>
      </w:r>
    </w:p>
    <w:p>
      <w:pPr>
        <w:pStyle w:val="Style17"/>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2).</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42 Закона извещение об осуществлении закупки, если иное не предусмотрено Законом, должно содержать порядок рассмотрения и оценки заявок на участие в конкурсах в соответствии с Законом.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32 Закона для оценки заявок участников закупки заказчик использует следующие критерии:</w:t>
      </w:r>
    </w:p>
    <w:p>
      <w:pPr>
        <w:pStyle w:val="Style17"/>
        <w:keepNext w:val="0"/>
        <w:keepLines w:val="0"/>
        <w:widowControl w:val="0"/>
        <w:numPr>
          <w:ilvl w:val="0"/>
          <w:numId w:val="3"/>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7"/>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17"/>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17"/>
        <w:keepNext w:val="0"/>
        <w:keepLines w:val="0"/>
        <w:widowControl w:val="0"/>
        <w:numPr>
          <w:ilvl w:val="0"/>
          <w:numId w:val="3"/>
        </w:numPr>
        <w:shd w:val="clear" w:color="auto" w:fill="auto"/>
        <w:tabs>
          <w:tab w:pos="3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квалификация участников закупки, в том числе наличие у них финансовых </w:t>
      </w:r>
      <w:r>
        <w:rPr>
          <w:color w:val="000000"/>
          <w:spacing w:val="0"/>
          <w:w w:val="100"/>
          <w:position w:val="0"/>
          <w:shd w:val="clear" w:color="auto" w:fill="auto"/>
          <w:lang w:val="ru-RU" w:eastAsia="ru-RU" w:bidi="ru-RU"/>
        </w:rPr>
        <w:t>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4 статьи 32 Закона в извещении об осуществлении закупки, документации о закупке (в случае, если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Законом предусмотрена документация о закупке) критерии и их величины значимости не могут применяться для целей оценки заявок.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8 статьи 32 Закона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данной статьи.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9 статьи 32 Закона не допускается использование заказчиком не предусмотренных данной статьей критериев или их величин значимости, установленных </w:t>
      </w:r>
      <w:r>
        <w:rPr>
          <w:color w:val="0202F4"/>
          <w:spacing w:val="0"/>
          <w:w w:val="100"/>
          <w:position w:val="0"/>
          <w:shd w:val="clear" w:color="auto" w:fill="auto"/>
          <w:lang w:val="ru-RU" w:eastAsia="ru-RU" w:bidi="ru-RU"/>
        </w:rPr>
        <w:t xml:space="preserve">частью 6 </w:t>
      </w:r>
      <w:r>
        <w:rPr>
          <w:color w:val="000000"/>
          <w:spacing w:val="0"/>
          <w:w w:val="100"/>
          <w:position w:val="0"/>
          <w:shd w:val="clear" w:color="auto" w:fill="auto"/>
          <w:lang w:val="ru-RU" w:eastAsia="ru-RU" w:bidi="ru-RU"/>
        </w:rPr>
        <w:t xml:space="preserve">данной статьи и в соответствии с </w:t>
      </w:r>
      <w:r>
        <w:rPr>
          <w:color w:val="0202F4"/>
          <w:spacing w:val="0"/>
          <w:w w:val="100"/>
          <w:position w:val="0"/>
          <w:shd w:val="clear" w:color="auto" w:fill="auto"/>
          <w:lang w:val="ru-RU" w:eastAsia="ru-RU" w:bidi="ru-RU"/>
        </w:rPr>
        <w:t xml:space="preserve">частью 8 </w:t>
      </w:r>
      <w:r>
        <w:rPr>
          <w:color w:val="000000"/>
          <w:spacing w:val="0"/>
          <w:w w:val="100"/>
          <w:position w:val="0"/>
          <w:shd w:val="clear" w:color="auto" w:fill="auto"/>
          <w:lang w:val="ru-RU" w:eastAsia="ru-RU" w:bidi="ru-RU"/>
        </w:rPr>
        <w:t>данной статьи. В случае невыполнения заказчиком требования данной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Постановлением Правительства РФ от 31.12.2021 № 2604 утверждено </w:t>
      </w:r>
      <w:r>
        <w:rPr>
          <w:color w:val="0202F4"/>
          <w:spacing w:val="0"/>
          <w:w w:val="100"/>
          <w:position w:val="0"/>
          <w:shd w:val="clear" w:color="auto" w:fill="auto"/>
          <w:lang w:val="ru-RU" w:eastAsia="ru-RU" w:bidi="ru-RU"/>
        </w:rPr>
        <w:t xml:space="preserve">Положение </w:t>
      </w:r>
      <w:r>
        <w:rPr>
          <w:color w:val="000000"/>
          <w:spacing w:val="0"/>
          <w:w w:val="100"/>
          <w:position w:val="0"/>
          <w:shd w:val="clear" w:color="auto" w:fill="auto"/>
          <w:lang w:val="ru-RU" w:eastAsia="ru-RU" w:bidi="ru-RU"/>
        </w:rPr>
        <w:t>об оценке заявок на участие в закупке товаров, работ, услуг для обеспечения государственных и муниципальных нужд (далее - Положение).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Приложении № 2 к Положению установлены предельные величины значимости критериев оценки заявок на участие в закупке товаров, работ, услуг для муниципальных нужд.</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3 Положения для оценки заявок в соответствии с данным Положением применяются следующие критерии оценки:</w:t>
      </w:r>
    </w:p>
    <w:p>
      <w:pPr>
        <w:pStyle w:val="Style17"/>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7"/>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расходы;</w:t>
      </w:r>
    </w:p>
    <w:p>
      <w:pPr>
        <w:pStyle w:val="Style17"/>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характеристики объекта закупки;</w:t>
      </w:r>
    </w:p>
    <w:p>
      <w:pPr>
        <w:pStyle w:val="Style17"/>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24 Положения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pPr>
        <w:pStyle w:val="Style17"/>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17"/>
        <w:keepNext w:val="0"/>
        <w:keepLines w:val="0"/>
        <w:widowControl w:val="0"/>
        <w:numPr>
          <w:ilvl w:val="0"/>
          <w:numId w:val="7"/>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17"/>
        <w:keepNext w:val="0"/>
        <w:keepLines w:val="0"/>
        <w:widowControl w:val="0"/>
        <w:numPr>
          <w:ilvl w:val="0"/>
          <w:numId w:val="7"/>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17"/>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17"/>
        <w:keepNext w:val="0"/>
        <w:keepLines w:val="0"/>
        <w:widowControl w:val="0"/>
        <w:numPr>
          <w:ilvl w:val="0"/>
          <w:numId w:val="7"/>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25 Положения для оценки заявок по показателям оценки, предусмотренным </w:t>
      </w:r>
      <w:r>
        <w:rPr>
          <w:color w:val="0202F4"/>
          <w:spacing w:val="0"/>
          <w:w w:val="100"/>
          <w:position w:val="0"/>
          <w:shd w:val="clear" w:color="auto" w:fill="auto"/>
          <w:lang w:val="ru-RU" w:eastAsia="ru-RU" w:bidi="ru-RU"/>
        </w:rPr>
        <w:t xml:space="preserve">пунктом 24 </w:t>
      </w:r>
      <w:r>
        <w:rPr>
          <w:color w:val="000000"/>
          <w:spacing w:val="0"/>
          <w:w w:val="100"/>
          <w:position w:val="0"/>
          <w:shd w:val="clear" w:color="auto" w:fill="auto"/>
          <w:lang w:val="ru-RU" w:eastAsia="ru-RU" w:bidi="ru-RU"/>
        </w:rPr>
        <w:t>данного Положения, применяются детализирующие показатели.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28 Положения в случае применения показателя оценки, предусмотренного подпунктом «в» пункта 24 Положения:</w:t>
      </w:r>
    </w:p>
    <w:p>
      <w:pPr>
        <w:pStyle w:val="Style17"/>
        <w:keepNext w:val="0"/>
        <w:keepLines w:val="0"/>
        <w:widowControl w:val="0"/>
        <w:numPr>
          <w:ilvl w:val="0"/>
          <w:numId w:val="9"/>
        </w:numPr>
        <w:shd w:val="clear" w:color="auto" w:fill="auto"/>
        <w:tabs>
          <w:tab w:pos="102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применяются один или несколько из следующих детализирующих показателей оценки:</w:t>
      </w:r>
    </w:p>
    <w:p>
      <w:pPr>
        <w:pStyle w:val="Style17"/>
        <w:keepNext w:val="0"/>
        <w:keepLines w:val="0"/>
        <w:widowControl w:val="0"/>
        <w:numPr>
          <w:ilvl w:val="0"/>
          <w:numId w:val="11"/>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17"/>
        <w:keepNext w:val="0"/>
        <w:keepLines w:val="0"/>
        <w:widowControl w:val="0"/>
        <w:numPr>
          <w:ilvl w:val="0"/>
          <w:numId w:val="11"/>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17"/>
        <w:keepNext w:val="0"/>
        <w:keepLines w:val="0"/>
        <w:widowControl w:val="0"/>
        <w:numPr>
          <w:ilvl w:val="0"/>
          <w:numId w:val="11"/>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17"/>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оценка заявок по детализирующим показателям, предусмотренным подпунктом «а» данного пункта, осуществляется в порядке, установленном пунктами 20 и 21 Положения, применение шкалы оценки не допускается;</w:t>
      </w:r>
    </w:p>
    <w:p>
      <w:pPr>
        <w:pStyle w:val="Style17"/>
        <w:keepNext w:val="0"/>
        <w:keepLines w:val="0"/>
        <w:widowControl w:val="0"/>
        <w:numPr>
          <w:ilvl w:val="0"/>
          <w:numId w:val="9"/>
        </w:numPr>
        <w:shd w:val="clear" w:color="auto" w:fill="auto"/>
        <w:tabs>
          <w:tab w:pos="17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документом, предусмотренным приложением № 1 к Положению:</w:t>
      </w:r>
    </w:p>
    <w:p>
      <w:pPr>
        <w:pStyle w:val="Style17"/>
        <w:keepNext w:val="0"/>
        <w:keepLines w:val="0"/>
        <w:widowControl w:val="0"/>
        <w:numPr>
          <w:ilvl w:val="0"/>
          <w:numId w:val="13"/>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устанавливается предмет договора (договоров), оцениваемого по каждому детализирующему показателю, </w:t>
      </w:r>
      <w:r>
        <w:rPr>
          <w:i/>
          <w:iCs/>
          <w:color w:val="000000"/>
          <w:spacing w:val="0"/>
          <w:w w:val="100"/>
          <w:position w:val="0"/>
          <w:shd w:val="clear" w:color="auto" w:fill="auto"/>
          <w:lang w:val="ru-RU" w:eastAsia="ru-RU" w:bidi="ru-RU"/>
        </w:rPr>
        <w:t>сопоставимый с предметом контракта,</w:t>
      </w:r>
      <w:r>
        <w:rPr>
          <w:color w:val="000000"/>
          <w:spacing w:val="0"/>
          <w:w w:val="100"/>
          <w:position w:val="0"/>
          <w:shd w:val="clear" w:color="auto" w:fill="auto"/>
          <w:lang w:val="ru-RU" w:eastAsia="ru-RU" w:bidi="ru-RU"/>
        </w:rPr>
        <w:t xml:space="preserve"> заключаемого по результатам определения поставщика (подрядчика, исполнителя);</w:t>
      </w:r>
    </w:p>
    <w:p>
      <w:pPr>
        <w:pStyle w:val="Style17"/>
        <w:keepNext w:val="0"/>
        <w:keepLines w:val="0"/>
        <w:widowControl w:val="0"/>
        <w:numPr>
          <w:ilvl w:val="0"/>
          <w:numId w:val="13"/>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устанавливается перечень документов, подтверждающих наличие у участника закупки опыта поставки товара, выполнения работы, оказания услуги, </w:t>
      </w:r>
      <w:r>
        <w:rPr>
          <w:i/>
          <w:iCs/>
          <w:color w:val="000000"/>
          <w:spacing w:val="0"/>
          <w:w w:val="100"/>
          <w:position w:val="0"/>
          <w:shd w:val="clear" w:color="auto" w:fill="auto"/>
          <w:lang w:val="ru-RU" w:eastAsia="ru-RU" w:bidi="ru-RU"/>
        </w:rPr>
        <w:t>связанного с предметом контракта,</w:t>
      </w:r>
      <w:r>
        <w:rPr>
          <w:color w:val="000000"/>
          <w:spacing w:val="0"/>
          <w:w w:val="100"/>
          <w:position w:val="0"/>
          <w:shd w:val="clear" w:color="auto" w:fill="auto"/>
          <w:lang w:val="ru-RU" w:eastAsia="ru-RU" w:bidi="ru-RU"/>
        </w:rPr>
        <w:t xml:space="preserve">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7"/>
        <w:keepNext w:val="0"/>
        <w:keepLines w:val="0"/>
        <w:widowControl w:val="0"/>
        <w:numPr>
          <w:ilvl w:val="0"/>
          <w:numId w:val="13"/>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7"/>
        <w:keepNext w:val="0"/>
        <w:keepLines w:val="0"/>
        <w:widowControl w:val="0"/>
        <w:numPr>
          <w:ilvl w:val="0"/>
          <w:numId w:val="9"/>
        </w:numPr>
        <w:shd w:val="clear" w:color="auto" w:fill="auto"/>
        <w:tabs>
          <w:tab w:pos="102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данного пункта, должен быть подписан не ранее чем за 5 лет до даты окончания срока подачи заявок;</w:t>
      </w:r>
    </w:p>
    <w:p>
      <w:pPr>
        <w:pStyle w:val="Style17"/>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w:t>
      </w:r>
    </w:p>
    <w:p>
      <w:pPr>
        <w:pStyle w:val="Style17"/>
        <w:keepNext w:val="0"/>
        <w:keepLines w:val="0"/>
        <w:widowControl w:val="0"/>
        <w:numPr>
          <w:ilvl w:val="0"/>
          <w:numId w:val="9"/>
        </w:numPr>
        <w:shd w:val="clear" w:color="auto" w:fill="auto"/>
        <w:tabs>
          <w:tab w:pos="1033"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к оценке принимаются документы, предусмотренные абзацем третьим подпункта «в» данного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закупки является благоустройство сквера у памятника М.И. Кутузову в городе Смоленске.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Описание объекта закупки содержится в приложении к Извещению (далее - </w:t>
      </w:r>
      <w:r>
        <w:rPr>
          <w:color w:val="000000"/>
          <w:spacing w:val="0"/>
          <w:w w:val="100"/>
          <w:position w:val="0"/>
          <w:shd w:val="clear" w:color="auto" w:fill="auto"/>
          <w:lang w:val="ru-RU" w:eastAsia="ru-RU" w:bidi="ru-RU"/>
        </w:rPr>
        <w:t>Техническое задание).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рассмотрения и оценки заявок на участие в конкурсе содержится в приложении к Извещению (далее - Порядок).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Разделом II Порядка установлены следующие критерии оценки заявок участников закупки:</w:t>
      </w:r>
    </w:p>
    <w:p>
      <w:pPr>
        <w:pStyle w:val="Style17"/>
        <w:keepNext w:val="0"/>
        <w:keepLines w:val="0"/>
        <w:widowControl w:val="0"/>
        <w:numPr>
          <w:ilvl w:val="0"/>
          <w:numId w:val="15"/>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7"/>
        <w:keepNext w:val="0"/>
        <w:keepLines w:val="0"/>
        <w:widowControl w:val="0"/>
        <w:numPr>
          <w:ilvl w:val="0"/>
          <w:numId w:val="15"/>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 в том числе наличие у участников закупки финансовых ресурсов, наличие у участников закупки на праве собственности или ином законном основании оборудования и других материальных ресурсов, наличие у участников закупки опыта поставки товара, выполнения работы, оказания услуги, связанного с предметом контракта, наличие у участников закупки деловой репутации, наличие у участников закупки специалистов и иных работников определенного уровня квалификации (далее - «Квалификация»),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Порядком по критерию оценки «Квалификация» установлен показатель «Наличие у участников закупки опыта работы, связанного с предметом контракта».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Данный показатель оценки рассматривается с учетом следующих детализирующих показателей:</w:t>
      </w:r>
    </w:p>
    <w:p>
      <w:pPr>
        <w:pStyle w:val="Style17"/>
        <w:keepNext w:val="0"/>
        <w:keepLines w:val="0"/>
        <w:widowControl w:val="0"/>
        <w:numPr>
          <w:ilvl w:val="0"/>
          <w:numId w:val="17"/>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17"/>
        <w:keepNext w:val="0"/>
        <w:keepLines w:val="0"/>
        <w:widowControl w:val="0"/>
        <w:numPr>
          <w:ilvl w:val="0"/>
          <w:numId w:val="17"/>
        </w:numPr>
        <w:shd w:val="clear" w:color="auto" w:fill="auto"/>
        <w:tabs>
          <w:tab w:pos="92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указанных детализирующих показателей, Заказчиком установлено требование о предоставлении опыта на «выполнение работ по строительству, некапитального строения, сооружения (строений, сооружений) и/или благоустройству территории (за исключением работ по содержанию территорий)».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36 части 1 Градостроительного кодекса Российской Федерации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Смоленского городского Совета от 25.12.2019 № 954 утверждены Правил благоустройства территории города Смоленска (далее - Правила).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Правилам к деятельности по благоустройству территорий относится, в том числе, разработка проектной документации по благоустройству территорий, выполнение мероприятий по благоустройству территорий и содержание объектов благоустройства.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3.1 Правил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Элементы благоустройства - декоративные, технические, планировочные, конструктивные устройства, различные виды оборудования и оформления, в том числе фасадов зданий, строений, сооружений, применяемые как составные части благоустройства территории.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3.1.1 Правил к элементам благоустройства относятся в том числе некапитальные нестационарные сооружения.</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Поскольку объектом закупки является </w:t>
      </w:r>
      <w:r>
        <w:rPr>
          <w:i/>
          <w:iCs/>
          <w:color w:val="000000"/>
          <w:spacing w:val="0"/>
          <w:w w:val="100"/>
          <w:position w:val="0"/>
          <w:shd w:val="clear" w:color="auto" w:fill="auto"/>
          <w:lang w:val="ru-RU" w:eastAsia="ru-RU" w:bidi="ru-RU"/>
        </w:rPr>
        <w:t>«Благоустройство сквера...»,</w:t>
      </w:r>
      <w:r>
        <w:rPr>
          <w:color w:val="000000"/>
          <w:spacing w:val="0"/>
          <w:w w:val="100"/>
          <w:position w:val="0"/>
          <w:shd w:val="clear" w:color="auto" w:fill="auto"/>
          <w:lang w:val="ru-RU" w:eastAsia="ru-RU" w:bidi="ru-RU"/>
        </w:rPr>
        <w:t xml:space="preserve"> то установление требований о предоставлении в качестве подтверждения опыта договоров на «выполнение работ по строительству, некапитального строения, сооружения (строений, сооружений) и/или благоустройству территории (за исключением работ по содержанию территорий)» не противоречит действующему законодательству.</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изложенным выше жалоба не находит своего подтверждения.</w:t>
      </w:r>
    </w:p>
    <w:p>
      <w:pPr>
        <w:pStyle w:val="Style17"/>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7"/>
        <w:keepNext w:val="0"/>
        <w:keepLines w:val="0"/>
        <w:widowControl w:val="0"/>
        <w:shd w:val="clear" w:color="auto" w:fill="auto"/>
        <w:bidi w:val="0"/>
        <w:spacing w:before="0" w:after="580" w:line="240" w:lineRule="auto"/>
        <w:ind w:left="0" w:right="0" w:firstLine="800"/>
        <w:jc w:val="both"/>
      </w:pPr>
      <w:r>
        <w:rPr>
          <w:color w:val="000000"/>
          <w:spacing w:val="0"/>
          <w:w w:val="100"/>
          <w:position w:val="0"/>
          <w:shd w:val="clear" w:color="auto" w:fill="auto"/>
          <w:lang w:val="ru-RU" w:eastAsia="ru-RU" w:bidi="ru-RU"/>
        </w:rPr>
        <w:t>Признать жалобу Общества с ограниченной ответственностью «ЭКОДОМ» на положения Извещения муниципального заказчика - Муниципального казенного учреждения «Строитель», уполномоченного органа - Администрации города Смоленска при проведении открытого конкурса в электронной форме: «Благоустройство сквера у памятника М.И. Кутузову в городе Смоленске» (извещение № 0163300029424000732) необо снованной.</w:t>
      </w:r>
    </w:p>
    <w:p>
      <w:pPr>
        <w:pStyle w:val="Style17"/>
        <w:keepNext w:val="0"/>
        <w:keepLines w:val="0"/>
        <w:widowControl w:val="0"/>
        <w:shd w:val="clear" w:color="auto" w:fill="auto"/>
        <w:bidi w:val="0"/>
        <w:spacing w:before="0" w:after="280" w:line="240" w:lineRule="auto"/>
        <w:ind w:left="0" w:right="0" w:firstLine="740"/>
        <w:jc w:val="both"/>
      </w:pPr>
      <w:r>
        <w:rPr>
          <w:i/>
          <w:iCs/>
          <w:color w:val="000000"/>
          <w:spacing w:val="0"/>
          <w:w w:val="100"/>
          <w:position w:val="0"/>
          <w:shd w:val="clear" w:color="auto" w:fill="auto"/>
          <w:lang w:val="ru-RU" w:eastAsia="ru-RU" w:bidi="ru-RU"/>
        </w:rPr>
        <w:t>В соответствии с частью 9 статьи 106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7"/>
        <w:keepNext w:val="0"/>
        <w:keepLines w:val="0"/>
        <w:widowControl w:val="0"/>
        <w:shd w:val="clear" w:color="auto" w:fill="auto"/>
        <w:bidi w:val="0"/>
        <w:spacing w:before="0" w:after="0" w:line="240" w:lineRule="auto"/>
        <w:ind w:left="0" w:right="0" w:firstLine="140"/>
        <w:jc w:val="both"/>
      </w:pPr>
      <w:r>
        <w:rPr>
          <w:color w:val="000000"/>
          <w:spacing w:val="0"/>
          <w:w w:val="100"/>
          <w:position w:val="0"/>
          <w:shd w:val="clear" w:color="auto" w:fill="auto"/>
          <w:lang w:val="ru-RU" w:eastAsia="ru-RU" w:bidi="ru-RU"/>
        </w:rPr>
        <w:t>Заместитель</w:t>
      </w:r>
    </w:p>
    <w:p>
      <w:pPr>
        <w:pStyle w:val="Style17"/>
        <w:keepNext w:val="0"/>
        <w:keepLines w:val="0"/>
        <w:widowControl w:val="0"/>
        <w:shd w:val="clear" w:color="auto" w:fill="auto"/>
        <w:bidi w:val="0"/>
        <w:spacing w:before="0" w:after="380" w:line="240" w:lineRule="auto"/>
        <w:ind w:left="0" w:right="0" w:firstLine="140"/>
        <w:jc w:val="both"/>
      </w:pPr>
      <w:r>
        <w:rPr>
          <w:color w:val="000000"/>
          <w:spacing w:val="0"/>
          <w:w w:val="100"/>
          <w:position w:val="0"/>
          <w:shd w:val="clear" w:color="auto" w:fill="auto"/>
          <w:lang w:val="ru-RU" w:eastAsia="ru-RU" w:bidi="ru-RU"/>
        </w:rPr>
        <w:t>председателя Комиссии</w:t>
      </w:r>
    </w:p>
    <w:p>
      <w:pPr>
        <w:pStyle w:val="Style17"/>
        <w:keepNext w:val="0"/>
        <w:keepLines w:val="0"/>
        <w:widowControl w:val="0"/>
        <w:shd w:val="clear" w:color="auto" w:fill="auto"/>
        <w:bidi w:val="0"/>
        <w:spacing w:before="0" w:after="340" w:line="240" w:lineRule="auto"/>
        <w:ind w:left="0" w:right="0" w:firstLine="140"/>
        <w:jc w:val="both"/>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887" w:right="461" w:bottom="795" w:left="104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9952355</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2024-4426</w:t>
                          </w:r>
                        </w:p>
                      </w:txbxContent>
                    </wps:txbx>
                    <wps:bodyPr wrap="none" lIns="0" tIns="0" rIns="0" bIns="0">
                      <a:spAutoFit/>
                    </wps:bodyPr>
                  </wps:wsp>
                </a:graphicData>
              </a:graphic>
            </wp:anchor>
          </w:drawing>
        </mc:Choice>
        <mc:Fallback>
          <w:pict>
            <v:shape id="_x0000_s1030" type="#_x0000_t202" style="position:absolute;margin-left:57.050000000000004pt;margin-top:783.64999999999998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2024-4426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6" name="Shape 6"/>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2024-4426</w:t>
                          </w:r>
                        </w:p>
                      </w:txbxContent>
                    </wps:txbx>
                    <wps:bodyPr wrap="none" lIns="0" tIns="0" rIns="0" bIns="0">
                      <a:spAutoFit/>
                    </wps:bodyPr>
                  </wps:wsp>
                </a:graphicData>
              </a:graphic>
            </wp:anchor>
          </w:drawing>
        </mc:Choice>
        <mc:Fallback>
          <w:pict>
            <v:shape id="_x0000_s1032"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2024-4426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698500</wp:posOffset>
              </wp:positionV>
              <wp:extent cx="67310" cy="100330"/>
              <wp:wrapNone/>
              <wp:docPr id="2" name="Shape 2"/>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05000000000001pt;margin-top:55.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B6294"/>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Заголовок №3_"/>
    <w:basedOn w:val="DefaultParagraphFont"/>
    <w:link w:val="Style20"/>
    <w:rPr>
      <w:rFonts w:ascii="Times New Roman" w:eastAsia="Times New Roman" w:hAnsi="Times New Roman" w:cs="Times New Roman"/>
      <w:b/>
      <w:bCs/>
      <w:i w:val="0"/>
      <w:iCs w:val="0"/>
      <w:smallCaps w:val="0"/>
      <w:strike w:val="0"/>
      <w:sz w:val="26"/>
      <w:szCs w:val="26"/>
      <w:u w:val="none"/>
    </w:rPr>
  </w:style>
  <w:style w:type="character" w:customStyle="1" w:styleId="CharStyle25">
    <w:name w:val="Заголовок №1_"/>
    <w:basedOn w:val="DefaultParagraphFont"/>
    <w:link w:val="Style24"/>
    <w:rPr>
      <w:rFonts w:ascii="Arial" w:eastAsia="Arial" w:hAnsi="Arial" w:cs="Arial"/>
      <w:b w:val="0"/>
      <w:bCs w:val="0"/>
      <w:i w:val="0"/>
      <w:iCs w:val="0"/>
      <w:smallCaps w:val="0"/>
      <w:strike w:val="0"/>
      <w:sz w:val="48"/>
      <w:szCs w:val="4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line="300" w:lineRule="auto"/>
      <w:jc w:val="center"/>
    </w:pPr>
    <w:rPr>
      <w:rFonts w:ascii="Times New Roman" w:eastAsia="Times New Roman" w:hAnsi="Times New Roman" w:cs="Times New Roman"/>
      <w:b w:val="0"/>
      <w:bCs w:val="0"/>
      <w:i w:val="0"/>
      <w:iCs w:val="0"/>
      <w:smallCaps w:val="0"/>
      <w:strike w:val="0"/>
      <w:color w:val="4B6294"/>
      <w:sz w:val="16"/>
      <w:szCs w:val="16"/>
      <w:u w:val="none"/>
    </w:rPr>
  </w:style>
  <w:style w:type="paragraph" w:customStyle="1" w:styleId="Style8">
    <w:name w:val="Основной текст (2)"/>
    <w:basedOn w:val="Normal"/>
    <w:link w:val="CharStyle9"/>
    <w:pPr>
      <w:widowControl w:val="0"/>
      <w:shd w:val="clear" w:color="auto" w:fill="auto"/>
      <w:spacing w:after="280" w:line="254" w:lineRule="auto"/>
    </w:pPr>
    <w:rPr>
      <w:rFonts w:ascii="Times New Roman" w:eastAsia="Times New Roman" w:hAnsi="Times New Roman" w:cs="Times New Roman"/>
      <w:b w:val="0"/>
      <w:bCs w:val="0"/>
      <w:i w:val="0"/>
      <w:iCs w:val="0"/>
      <w:smallCaps w:val="0"/>
      <w:strike w:val="0"/>
      <w:sz w:val="19"/>
      <w:szCs w:val="19"/>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Заголовок №3"/>
    <w:basedOn w:val="Normal"/>
    <w:link w:val="CharStyle21"/>
    <w:pPr>
      <w:widowControl w:val="0"/>
      <w:shd w:val="clear" w:color="auto" w:fill="auto"/>
      <w:outlineLvl w:val="2"/>
    </w:pPr>
    <w:rPr>
      <w:rFonts w:ascii="Times New Roman" w:eastAsia="Times New Roman" w:hAnsi="Times New Roman" w:cs="Times New Roman"/>
      <w:b/>
      <w:bCs/>
      <w:i w:val="0"/>
      <w:iCs w:val="0"/>
      <w:smallCaps w:val="0"/>
      <w:strike w:val="0"/>
      <w:sz w:val="26"/>
      <w:szCs w:val="26"/>
      <w:u w:val="none"/>
    </w:rPr>
  </w:style>
  <w:style w:type="paragraph" w:customStyle="1" w:styleId="Style24">
    <w:name w:val="Заголовок №1"/>
    <w:basedOn w:val="Normal"/>
    <w:link w:val="CharStyle25"/>
    <w:pPr>
      <w:widowControl w:val="0"/>
      <w:shd w:val="clear" w:color="auto" w:fill="auto"/>
      <w:spacing w:after="40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