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footerReference w:type="default" r:id="rId7"/>
          <w:footnotePr>
            <w:pos w:val="pageBottom"/>
            <w:numFmt w:val="decimal"/>
            <w:numRestart w:val="continuous"/>
          </w:footnotePr>
          <w:pgSz w:w="11900" w:h="16840"/>
          <w:pgMar w:top="298" w:right="536" w:bottom="649" w:left="1106" w:header="0" w:footer="3" w:gutter="0"/>
          <w:pgNumType w:start="1"/>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02.10.2024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40708/24</w:t>
      </w:r>
      <w:bookmarkEnd w:id="0"/>
    </w:p>
    <w:p>
      <w:pPr>
        <w:spacing w:lineRule="exact" w:line="1"/>
        <w:rPr>
          <w:sz w:val="2"/>
          <w:szCs w:val="2"/>
        </w:rPr>
      </w:pPr>
      <w:r>
        <w:br w:type="column"/>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ко@го8екогд.ги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«Матрица»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кега1а2018@тай.ги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 СОЦИАЛЬНЫЙ ДОМ «ОБРУЧЕВСКИЙ»</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096" w:bottom="621" w:left="1269" w:header="0" w:footer="3" w:gutter="0"/>
          <w:cols w:num="2" w:space="720" w:equalWidth="0">
            <w:col w:w="3835" w:space="1301"/>
            <w:col w:w="3398"/>
          </w:cols>
          <w:noEndnote/>
          <w:rtlGutter w:val="0"/>
          <w:docGrid w:linePitch="360"/>
        </w:sectPr>
      </w:pPr>
      <w:r>
        <w:rPr>
          <w:color w:val="000000"/>
          <w:spacing w:val="0"/>
          <w:w w:val="100"/>
          <w:position w:val="0"/>
          <w:shd w:val="clear" w:color="auto" w:fill="auto"/>
          <w:lang w:val="ru-RU" w:eastAsia="ru-RU" w:bidi="ru-RU"/>
        </w:rPr>
        <w:t>8с1-20)-/а1&lt;ир1&lt;1@8ос1а1.1по8.П1</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3" behindDoc="1" locked="0" layoutInCell="1" allowOverlap="1">
            <wp:simplePos x="0" y="0"/>
            <wp:positionH relativeFrom="page">
              <wp:posOffset>727075</wp:posOffset>
            </wp:positionH>
            <wp:positionV relativeFrom="paragraph">
              <wp:posOffset>12700</wp:posOffset>
            </wp:positionV>
            <wp:extent cx="2597150" cy="70104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8"/>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№077/06/106-13178/2024 о нарушении</w:t>
        <w:br/>
        <w:t>законодательства о контрактной системе</w:t>
        <w:br/>
        <w:t>27.09.2024</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«Матрица»: Доценко Т.Г. (по доверенности от 26.09.2024 №1);</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 СОЦИАЛЬНЫЙ ДОМ «ОБРУЧЕВСКИЙ»: Касимцева А.А. (по доверенности от 06.06.2024 №ЮР-19)</w:t>
      </w:r>
    </w:p>
    <w:p>
      <w:pPr>
        <w:pStyle w:val="Style12"/>
        <w:keepNext w:val="0"/>
        <w:keepLines w:val="0"/>
        <w:widowControl w:val="0"/>
        <w:shd w:val="clear" w:color="auto" w:fill="auto"/>
        <w:bidi w:val="0"/>
        <w:spacing w:before="0" w:after="540" w:line="240" w:lineRule="auto"/>
        <w:ind w:left="0" w:right="0" w:firstLine="700"/>
        <w:jc w:val="both"/>
      </w:pPr>
      <w:r>
        <w:rPr>
          <w:color w:val="000000"/>
          <w:spacing w:val="0"/>
          <w:w w:val="100"/>
          <w:position w:val="0"/>
          <w:shd w:val="clear" w:color="auto" w:fill="auto"/>
          <w:lang w:val="ru-RU" w:eastAsia="ru-RU" w:bidi="ru-RU"/>
        </w:rPr>
        <w:t>рассмотрев жалобу ООО «Матрица» (далее — Заявитель) на действия ГБУ СОЦИАЛЬНЫЙ ДОМ «ОБРУЧЕВСКИЙ» (далее — Заказчик) при проведении электронного аукциона на право заключения контракта на поставку картриджей для лазерных принтеров и многофункциональных печатающих устройств в 2024-2025 году (Закупка №0373200033924000056)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left"/>
        <w:sectPr>
          <w:footnotePr>
            <w:pos w:val="pageBottom"/>
            <w:numFmt w:val="decimal"/>
            <w:numRestart w:val="continuous"/>
          </w:footnotePr>
          <w:type w:val="continuous"/>
          <w:pgSz w:w="11900" w:h="16840"/>
          <w:pgMar w:top="298" w:right="536" w:bottom="621" w:left="1106"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ст.33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2"/>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2"/>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numPr>
          <w:ilvl w:val="0"/>
          <w:numId w:val="1"/>
        </w:numPr>
        <w:shd w:val="clear" w:color="auto" w:fill="auto"/>
        <w:tabs>
          <w:tab w:pos="1090" w:val="left"/>
        </w:tabs>
        <w:bidi w:val="0"/>
        <w:spacing w:before="0" w:after="0" w:line="240" w:lineRule="auto"/>
        <w:ind w:left="0" w:right="0" w:firstLine="720"/>
        <w:jc w:val="both"/>
        <w:rPr>
          <w:sz w:val="22"/>
          <w:szCs w:val="22"/>
        </w:rPr>
        <w:sectPr>
          <w:headerReference w:type="default" r:id="rId10"/>
          <w:footerReference w:type="default" r:id="rId11"/>
          <w:footnotePr>
            <w:pos w:val="pageBottom"/>
            <w:numFmt w:val="decimal"/>
            <w:numRestart w:val="continuous"/>
          </w:footnotePr>
          <w:pgSz w:w="11900" w:h="16840"/>
          <w:pgMar w:top="1158" w:right="550" w:bottom="299"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Pr>
          <w:rFonts w:ascii="Cambria" w:eastAsia="Cambria" w:hAnsi="Cambria" w:cs="Cambria"/>
          <w:color w:val="000000"/>
          <w:spacing w:val="0"/>
          <w:w w:val="100"/>
          <w:position w:val="0"/>
          <w:sz w:val="22"/>
          <w:szCs w:val="22"/>
          <w:shd w:val="clear" w:color="auto" w:fill="auto"/>
          <w:lang w:val="ru-RU" w:eastAsia="ru-RU" w:bidi="ru-RU"/>
        </w:rPr>
        <w:t>2024-46336</w:t>
      </w:r>
    </w:p>
    <w:p>
      <w:pPr>
        <w:pStyle w:val="Style12"/>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ru-RU" w:eastAsia="ru-RU" w:bidi="ru-RU"/>
        </w:rPr>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описанием объекта закупки неправомерно предусмотрена поставка товаров, включенных и не включенных в реестр российской радиоэлектронной продукции.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Таким образом, по мнению Заявителя, извещение не соответствует требованиям положений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№878).</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w:t>
      </w:r>
      <w:r>
        <w:rPr>
          <w:color w:val="000000"/>
          <w:spacing w:val="0"/>
          <w:w w:val="100"/>
          <w:position w:val="0"/>
          <w:shd w:val="clear" w:color="auto" w:fill="auto"/>
          <w:lang w:val="ru-RU" w:eastAsia="ru-RU" w:bidi="ru-RU"/>
        </w:rPr>
        <w:t>соответствии с законодательством Российской Федерации.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Абз.4 п.2 Постановления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П.7 Постановления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Заказчиком закупаются картриджи для электрографических печатающих устройств отнесенные Заказчиком к коду ОКПД2 26.20.40.120, который включен в Перечень.</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Заказчиком применена позиция КТРУ 20.59.12.120-00000002 «Картридж для электрографических печатающих устройств», тем самым по мнению Заявителя часть закупаемых картриджей отнесена Заказчиком к коду ОКПД2 20.59.12.120, который, по мнению Заявителя, отсутствует в Перечне.</w:t>
      </w:r>
    </w:p>
    <w:p>
      <w:pPr>
        <w:pStyle w:val="Style12"/>
        <w:keepNext w:val="0"/>
        <w:keepLines w:val="0"/>
        <w:widowControl w:val="0"/>
        <w:shd w:val="clear" w:color="auto" w:fill="auto"/>
        <w:tabs>
          <w:tab w:pos="7651" w:val="left"/>
        </w:tabs>
        <w:bidi w:val="0"/>
        <w:spacing w:before="0" w:after="0" w:line="230"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отмечает, что в каталоге товаров, работ, услуг есть позиция </w:t>
      </w:r>
      <w:r>
        <w:rPr>
          <w:smallCaps/>
          <w:color w:val="000000"/>
          <w:spacing w:val="0"/>
          <w:w w:val="100"/>
          <w:position w:val="0"/>
          <w:shd w:val="clear" w:color="auto" w:fill="auto"/>
          <w:lang w:val="ru-RU" w:eastAsia="ru-RU" w:bidi="ru-RU"/>
        </w:rPr>
        <w:t>КТрУ</w:t>
      </w:r>
      <w:r>
        <w:rPr>
          <w:color w:val="000000"/>
          <w:spacing w:val="0"/>
          <w:w w:val="100"/>
          <w:position w:val="0"/>
          <w:shd w:val="clear" w:color="auto" w:fill="auto"/>
          <w:lang w:val="ru-RU" w:eastAsia="ru-RU" w:bidi="ru-RU"/>
        </w:rPr>
        <w:t xml:space="preserve"> 20.59.12.120-00000002</w:t>
        <w:tab/>
        <w:t>- Картридж для</w:t>
      </w:r>
    </w:p>
    <w:p>
      <w:pPr>
        <w:pStyle w:val="Style12"/>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ru-RU" w:eastAsia="ru-RU" w:bidi="ru-RU"/>
        </w:rPr>
        <w:t>электрографических печатающих устройств (обязательное применение с 26.01.2024 — бессрочно), которая также установлена Заказчиком в описании объекта закупки.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справочной информации указаны следующие коды ОКПД 2:</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26.20.40.120: Элементы замены типовые устройств ввода и вывода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20.59.12.120: Составы химические, используемые в фотографии, не включенные в другие группировки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26.20.40.190: Комплектующие и запасные части для вычислительных машин прочие, не включенные в другие группировки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28.99.40.110: Комплектующие (запасные части) печатного оборудования, не имеющие самостоятельных группировок</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28.23.25.000: Части и принадлежности прочих офисных машин.</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При этом, согласно извещению, все закупаемые картриджи отнесены Заказчиком к коду ОКПД2 26.20.40.120.</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Таким образом, как установлено Комиссией Управления, код ОКПД2, соответствующий закупаемым Заказчиком товарам, входит в Перечень.</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2"/>
        <w:keepNext w:val="0"/>
        <w:keepLines w:val="0"/>
        <w:widowControl w:val="0"/>
        <w:numPr>
          <w:ilvl w:val="0"/>
          <w:numId w:val="5"/>
        </w:numPr>
        <w:shd w:val="clear" w:color="auto" w:fill="auto"/>
        <w:tabs>
          <w:tab w:pos="106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доводам жалобы при описании закупаемого изделия Заказчиком в структурированной форме извещения содержится указание на возможность поставки совместимых товаров, вместе с тем в составе файла «Техническое задание» Заказчиком не предусмотрено данной возможности, что вводит участников закупки в заблуждение.</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На основании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2"/>
        <w:keepNext w:val="0"/>
        <w:keepLines w:val="0"/>
        <w:widowControl w:val="0"/>
        <w:numPr>
          <w:ilvl w:val="0"/>
          <w:numId w:val="7"/>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извещении об осуществлении закупки;</w:t>
      </w:r>
    </w:p>
    <w:p>
      <w:pPr>
        <w:pStyle w:val="Style12"/>
        <w:keepNext w:val="0"/>
        <w:keepLines w:val="0"/>
        <w:widowControl w:val="0"/>
        <w:numPr>
          <w:ilvl w:val="0"/>
          <w:numId w:val="7"/>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12"/>
        <w:keepNext w:val="0"/>
        <w:keepLines w:val="0"/>
        <w:widowControl w:val="0"/>
        <w:numPr>
          <w:ilvl w:val="0"/>
          <w:numId w:val="7"/>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документации о закупке (в случае если Федеральным законом предусмотрена документация о закупке);</w:t>
      </w:r>
    </w:p>
    <w:p>
      <w:pPr>
        <w:pStyle w:val="Style12"/>
        <w:keepNext w:val="0"/>
        <w:keepLines w:val="0"/>
        <w:widowControl w:val="0"/>
        <w:numPr>
          <w:ilvl w:val="0"/>
          <w:numId w:val="7"/>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контракте;</w:t>
      </w:r>
    </w:p>
    <w:p>
      <w:pPr>
        <w:pStyle w:val="Style12"/>
        <w:keepNext w:val="0"/>
        <w:keepLines w:val="0"/>
        <w:widowControl w:val="0"/>
        <w:numPr>
          <w:ilvl w:val="0"/>
          <w:numId w:val="7"/>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пп.«б» - «г» и «е» - «з» п.10 Правил формирования КТРУ</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9"/>
        </w:numPr>
        <w:shd w:val="clear" w:color="auto" w:fill="auto"/>
        <w:tabs>
          <w:tab w:pos="1250"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12"/>
        <w:keepNext w:val="0"/>
        <w:keepLines w:val="0"/>
        <w:widowControl w:val="0"/>
        <w:numPr>
          <w:ilvl w:val="0"/>
          <w:numId w:val="9"/>
        </w:numPr>
        <w:shd w:val="clear" w:color="auto" w:fill="auto"/>
        <w:tabs>
          <w:tab w:pos="1274"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9"/>
        </w:numPr>
        <w:shd w:val="clear" w:color="auto" w:fill="auto"/>
        <w:tabs>
          <w:tab w:pos="1274"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 установленных пп. «а», «б» п.5 Правил использования КТРУ</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структурированной формы извещения, сформированной с использованием ЕИС, Заказчиком установлены требования к поставляемым товарам, например, по позиции «Картридж для электрографических печатающих устройств Идентификатор: 161068553»: «Товарный знак: Хегох Уег^актк Картридж Хегох 106К03396 черный увеличенный оригинальный Допускается поставка эквивалента».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тоже время Техническое задание содержит следующие требования к поставляемому картриджу:</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«Товарный знак производителя оргтехники: Хегох.</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Требование оригинальности комплектующего изделия/ расходного материала: Оригинальный(ая)».</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При этом Техническим заданием не предусмотрена возможность поставки эквивалентного, совместимого товара.</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30" w:lineRule="auto"/>
        <w:ind w:left="0" w:right="0" w:firstLine="700"/>
        <w:jc w:val="both"/>
        <w:sectPr>
          <w:headerReference w:type="default" r:id="rId12"/>
          <w:footerReference w:type="default" r:id="rId13"/>
          <w:footnotePr>
            <w:pos w:val="pageBottom"/>
            <w:numFmt w:val="decimal"/>
            <w:numRestart w:val="continuous"/>
          </w:footnotePr>
          <w:pgSz w:w="11900" w:h="16840"/>
          <w:pgMar w:top="1162" w:right="552" w:bottom="840" w:left="1106" w:header="0" w:footer="3" w:gutter="0"/>
          <w:cols w:space="720"/>
          <w:noEndnote/>
          <w:rtlGutter w:val="0"/>
          <w:docGrid w:linePitch="360"/>
        </w:sectPr>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информация размещенная в составе структурированной формы извещения</w:t>
      </w:r>
    </w:p>
    <w:p>
      <w:pPr>
        <w:pStyle w:val="Style12"/>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ru-RU" w:eastAsia="ru-RU" w:bidi="ru-RU"/>
        </w:rPr>
        <w:t>относительно товарного знака носит необязательный характер и отражает лишь потребность Заказчика, участники закупки обязаны руководствоваться в первую очередь условиями Технического задания.</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формирование информации и документов с использованием ЕИС осуществляется путем заполнения экранных форм вебинтерфейса ЕИС. При формировании извещения о проведении электронного аукциона в ЕИС Заказчику надлежало указать характеристики закупаемой продукции со значениями этих характеристик. При этом отсутствие в Техническом задании указания на возможность поставки эквивалентного товара, как это отражено в составе извещения свидетельствует о противоречии Технического задания условиям извещения.</w:t>
      </w:r>
    </w:p>
    <w:p>
      <w:pPr>
        <w:pStyle w:val="Style12"/>
        <w:keepNext w:val="0"/>
        <w:keepLines w:val="0"/>
        <w:widowControl w:val="0"/>
        <w:shd w:val="clear" w:color="auto" w:fill="auto"/>
        <w:bidi w:val="0"/>
        <w:spacing w:before="0" w:after="0" w:line="230" w:lineRule="auto"/>
        <w:ind w:left="0" w:right="0" w:firstLine="700"/>
        <w:jc w:val="both"/>
      </w:pPr>
      <w:r>
        <w:rPr>
          <w:color w:val="000000"/>
          <w:spacing w:val="0"/>
          <w:w w:val="100"/>
          <w:position w:val="0"/>
          <w:shd w:val="clear" w:color="auto" w:fill="auto"/>
          <w:lang w:val="ru-RU" w:eastAsia="ru-RU" w:bidi="ru-RU"/>
        </w:rPr>
        <w:t>При таких данных Комиссия Управления приходит к выводу о нарушении Заказчиком положений п.1. ч.1 ст. 33, ч.1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составе извещения Заказчиком установлены требования к поставляемым товарам, в том числе, например, по позиции «Картридж для электрографических печатающих устройств Идентификатор: 161068563», в том числе:</w:t>
      </w:r>
    </w:p>
    <w:p>
      <w:pPr>
        <w:pStyle w:val="Style12"/>
        <w:keepNext w:val="0"/>
        <w:keepLines w:val="0"/>
        <w:widowControl w:val="0"/>
        <w:shd w:val="clear" w:color="auto" w:fill="auto"/>
        <w:bidi w:val="0"/>
        <w:spacing w:before="0" w:after="0" w:line="240" w:lineRule="auto"/>
        <w:ind w:left="700" w:right="0" w:firstLine="0"/>
        <w:jc w:val="both"/>
      </w:pPr>
      <w:r>
        <w:rPr>
          <w:color w:val="000000"/>
          <w:spacing w:val="0"/>
          <w:w w:val="100"/>
          <w:position w:val="0"/>
          <w:shd w:val="clear" w:color="auto" w:fill="auto"/>
          <w:lang w:val="ru-RU" w:eastAsia="ru-RU" w:bidi="ru-RU"/>
        </w:rPr>
        <w:t xml:space="preserve">Требование оригинальности комплектующего изделия/ расходного материала: </w:t>
      </w:r>
      <w:r>
        <w:rPr>
          <w:i/>
          <w:iCs/>
          <w:color w:val="000000"/>
          <w:spacing w:val="0"/>
          <w:w w:val="100"/>
          <w:position w:val="0"/>
          <w:shd w:val="clear" w:color="auto" w:fill="auto"/>
          <w:lang w:val="ru-RU" w:eastAsia="ru-RU" w:bidi="ru-RU"/>
        </w:rPr>
        <w:t>Оригинальный(ая)</w:t>
      </w:r>
    </w:p>
    <w:p>
      <w:pPr>
        <w:pStyle w:val="Style12"/>
        <w:keepNext w:val="0"/>
        <w:keepLines w:val="0"/>
        <w:widowControl w:val="0"/>
        <w:shd w:val="clear" w:color="auto" w:fill="auto"/>
        <w:bidi w:val="0"/>
        <w:spacing w:before="0" w:after="0" w:line="240" w:lineRule="auto"/>
        <w:ind w:left="0" w:right="0" w:firstLine="820"/>
        <w:jc w:val="both"/>
      </w:pPr>
      <w:r>
        <w:rPr>
          <w:i/>
          <w:iCs/>
          <w:color w:val="000000"/>
          <w:spacing w:val="0"/>
          <w:w w:val="100"/>
          <w:position w:val="0"/>
          <w:shd w:val="clear" w:color="auto" w:fill="auto"/>
          <w:lang w:val="ru-RU" w:eastAsia="ru-RU" w:bidi="ru-RU"/>
        </w:rPr>
        <w:t>Совместимый(ая)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Комиссия Управления отмечает, что согласно инструкции по заполнению характеристик в составе заявки Заказчиком установлено: Значение характеристики </w:t>
      </w:r>
      <w:r>
        <w:rPr>
          <w:b/>
          <w:bCs/>
          <w:color w:val="000000"/>
          <w:spacing w:val="0"/>
          <w:w w:val="100"/>
          <w:position w:val="0"/>
          <w:shd w:val="clear" w:color="auto" w:fill="auto"/>
          <w:lang w:val="ru-RU" w:eastAsia="ru-RU" w:bidi="ru-RU"/>
        </w:rPr>
        <w:t>не может изменяться участником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вышеуказанного положения инструкции участнику закупки не предоставляется возможным предложить к поставке только совместимые товары/расходные материалы.</w:t>
      </w:r>
    </w:p>
    <w:p>
      <w:pPr>
        <w:pStyle w:val="Style12"/>
        <w:keepNext w:val="0"/>
        <w:keepLines w:val="0"/>
        <w:widowControl w:val="0"/>
        <w:shd w:val="clear" w:color="auto" w:fill="auto"/>
        <w:tabs>
          <w:tab w:pos="9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основе вышеизложенного,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ч.4.1</w:t>
        <w:tab/>
        <w:t>ст.7.30 Кодекса Российской Федерации об административных</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Комиссией Управления установлено, что Заказчиком закупаются картриджи для электрографических печатающих устройств относящиеся к позиции КТРУ 20.59.12.120-00000002 - Картридж для электрографических печатающих устройств. Вместе с тем как установлено Комиссией Управления, например, по позиции «Картридж для электрографических печатающих устройств Идентификатор: 161068558» Заказчиком не применена вышеуказанная позиция КТРУ и указан код ОКПД2 26.20.40.120.</w:t>
      </w:r>
    </w:p>
    <w:p>
      <w:pPr>
        <w:pStyle w:val="Style12"/>
        <w:keepNext w:val="0"/>
        <w:keepLines w:val="0"/>
        <w:widowControl w:val="0"/>
        <w:shd w:val="clear" w:color="auto" w:fill="auto"/>
        <w:bidi w:val="0"/>
        <w:spacing w:before="0" w:after="0" w:line="310" w:lineRule="auto"/>
        <w:ind w:left="0" w:right="0" w:firstLine="700"/>
        <w:jc w:val="both"/>
        <w:rPr>
          <w:sz w:val="22"/>
          <w:szCs w:val="22"/>
        </w:rPr>
        <w:sectPr>
          <w:headerReference w:type="default" r:id="rId14"/>
          <w:footerReference w:type="default" r:id="rId15"/>
          <w:footnotePr>
            <w:pos w:val="pageBottom"/>
            <w:numFmt w:val="decimal"/>
            <w:numRestart w:val="continuous"/>
          </w:footnotePr>
          <w:pgSz w:w="11900" w:h="16840"/>
          <w:pgMar w:top="1162" w:right="541" w:bottom="245"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Заказчика затруднился пояснить неприменение соответствующей позиции каталога, являющейся </w:t>
      </w:r>
      <w:r>
        <w:rPr>
          <w:rFonts w:ascii="Cambria" w:eastAsia="Cambria" w:hAnsi="Cambria" w:cs="Cambria"/>
          <w:color w:val="000000"/>
          <w:spacing w:val="0"/>
          <w:w w:val="100"/>
          <w:position w:val="0"/>
          <w:sz w:val="22"/>
          <w:szCs w:val="22"/>
          <w:shd w:val="clear" w:color="auto" w:fill="auto"/>
          <w:lang w:val="ru-RU" w:eastAsia="ru-RU" w:bidi="ru-RU"/>
        </w:rPr>
        <w:t>2024-46336</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обязательной для применения.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ч.6 ст.23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Законом о контрактной системе, Комиссия Управления</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ООО «Матрица» на действия ГБУ СОЦИАЛЬНЫЙ ДОМ «ОБРУЧЕВСКИЙ» обоснованной в части ненадлежащего описании объекта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ч.6 ст.23, п.1 ч.1 ст.33, ч.1 ст.42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6"/>
          <w:footerReference w:type="default" r:id="rId17"/>
          <w:footnotePr>
            <w:pos w:val="pageBottom"/>
            <w:numFmt w:val="decimal"/>
            <w:numRestart w:val="continuous"/>
          </w:footnotePr>
          <w:pgSz w:w="11900" w:h="16840"/>
          <w:pgMar w:top="1162" w:right="536" w:bottom="821" w:left="1106" w:header="0" w:footer="3" w:gutter="0"/>
          <w:cols w:space="720"/>
          <w:noEndnote/>
          <w:rtlGutter w:val="0"/>
          <w:docGrid w:linePitch="360"/>
        </w:sectPr>
      </w:pPr>
      <w:r>
        <mc:AlternateContent>
          <mc:Choice Requires="wps">
            <w:drawing>
              <wp:anchor distT="330200" distB="216535" distL="0" distR="0" simplePos="0" relativeHeight="125829378" behindDoc="0" locked="0" layoutInCell="1" allowOverlap="1">
                <wp:simplePos x="0" y="0"/>
                <wp:positionH relativeFrom="page">
                  <wp:posOffset>735965</wp:posOffset>
                </wp:positionH>
                <wp:positionV relativeFrom="paragraph">
                  <wp:posOffset>330200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26.pt;width:145.70000000000002pt;height:19.900000000000002pt;z-index:-125829375;mso-wrap-distance-left:0;mso-wrap-distance-top:26.pt;mso-wrap-distance-right:0;mso-wrap-distance-bottom:17.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94335" distB="0" distL="0" distR="1789430" simplePos="0" relativeHeight="125829380" behindDoc="0" locked="0" layoutInCell="1" allowOverlap="1">
            <wp:simplePos x="0" y="0"/>
            <wp:positionH relativeFrom="page">
              <wp:posOffset>3094990</wp:posOffset>
            </wp:positionH>
            <wp:positionV relativeFrom="paragraph">
              <wp:posOffset>394335</wp:posOffset>
            </wp:positionV>
            <wp:extent cx="365760" cy="40830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8"/>
                    <a:stretch/>
                  </pic:blipFill>
                  <pic:spPr>
                    <a:xfrm>
                      <a:ext cx="36576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494665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38.950000000000003pt;width:135.84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1" behindDoc="0" locked="0" layoutInCell="1" allowOverlap="1">
                <wp:simplePos x="0" y="0"/>
                <wp:positionH relativeFrom="page">
                  <wp:posOffset>6337935</wp:posOffset>
                </wp:positionH>
                <wp:positionV relativeFrom="paragraph">
                  <wp:posOffset>330200</wp:posOffset>
                </wp:positionV>
                <wp:extent cx="880745" cy="252730"/>
                <wp:wrapTopAndBottom/>
                <wp:docPr id="25" name="Shape 25"/>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51" type="#_x0000_t202" style="position:absolute;margin-left:499.05000000000001pt;margin-top:26.pt;width:69.350000000000009pt;height:19.900000000000002pt;z-index:-125829372;mso-wrap-distance-left:0;mso-wrap-distance-top:26.pt;mso-wrap-distance-right:0;mso-wrap-distance-bottom:17.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9"/>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0084Е434Е5152Е57С032В1</w:t>
      </w:r>
      <w:r>
        <w:rPr>
          <w:color w:val="242424"/>
          <w:spacing w:val="0"/>
          <w:w w:val="100"/>
          <w:position w:val="0"/>
          <w:shd w:val="clear" w:color="auto" w:fill="auto"/>
          <w:lang w:val="ru-RU" w:eastAsia="ru-RU" w:bidi="ru-RU"/>
        </w:rPr>
        <w:t>780ВА4А68226</w:t>
      </w:r>
    </w:p>
    <w:p>
      <w:pPr>
        <w:pStyle w:val="Style29"/>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04040"/>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3" behindDoc="0" locked="0" layoutInCell="1" allowOverlap="1">
            <wp:simplePos x="0" y="0"/>
            <wp:positionH relativeFrom="page">
              <wp:posOffset>3073400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0"/>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461010</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1.10000000000002pt;margin-top:36.300000000000004pt;width:100.8pt;height:8.15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150495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pt;margin-top:11.85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9"/>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29"/>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42424"/>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2"/>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4" behindDoc="0" locked="0" layoutInCell="1" allowOverlap="1">
            <wp:simplePos x="0" y="0"/>
            <wp:positionH relativeFrom="page">
              <wp:posOffset>3094990</wp:posOffset>
            </wp:positionH>
            <wp:positionV relativeFrom="paragraph">
              <wp:posOffset>50800</wp:posOffset>
            </wp:positionV>
            <wp:extent cx="365760" cy="5486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2"/>
                    <a:stretch/>
                  </pic:blipFill>
                  <pic:spPr>
                    <a:xfrm>
                      <a:ext cx="365760" cy="5486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3570605</wp:posOffset>
                </wp:positionH>
                <wp:positionV relativeFrom="paragraph">
                  <wp:posOffset>462280</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81.15000000000003pt;margin-top:36.399999999999999pt;width:100.8pt;height:7.90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3524885</wp:posOffset>
                </wp:positionH>
                <wp:positionV relativeFrom="paragraph">
                  <wp:posOffset>148590</wp:posOffset>
                </wp:positionV>
                <wp:extent cx="1725295" cy="259080"/>
                <wp:wrapNone/>
                <wp:docPr id="37" name="Shape 3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5000000000001pt;margin-top:11.700000000000001pt;width:135.84999999999999pt;height:20.40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9"/>
        <w:keepNext w:val="0"/>
        <w:keepLines w:val="0"/>
        <w:widowControl w:val="0"/>
        <w:shd w:val="clear" w:color="auto" w:fill="auto"/>
        <w:bidi w:val="0"/>
        <w:spacing w:before="0" w:after="0" w:line="276"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2Е366ЕВЗОЕЕ902О8968ЕА4В2С7Э60465</w:t>
      </w:r>
    </w:p>
    <w:p>
      <w:pPr>
        <w:pStyle w:val="Style29"/>
        <w:keepNext w:val="0"/>
        <w:keepLines w:val="0"/>
        <w:widowControl w:val="0"/>
        <w:shd w:val="clear" w:color="auto" w:fill="auto"/>
        <w:bidi w:val="0"/>
        <w:spacing w:before="0" w:after="100" w:line="276" w:lineRule="auto"/>
        <w:ind w:right="0" w:firstLine="0"/>
        <w:jc w:val="left"/>
      </w:pPr>
      <w:r>
        <w:rPr>
          <w:spacing w:val="0"/>
          <w:w w:val="100"/>
          <w:position w:val="0"/>
          <w:shd w:val="clear" w:color="auto" w:fill="auto"/>
          <w:lang w:val="ru-RU" w:eastAsia="ru-RU" w:bidi="ru-RU"/>
        </w:rPr>
        <w:t xml:space="preserve">Действителен </w:t>
      </w:r>
      <w:r>
        <w:rPr>
          <w:color w:val="404040"/>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62" w:right="536" w:bottom="82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723900</wp:posOffset>
              </wp:positionH>
              <wp:positionV relativeFrom="page">
                <wp:posOffset>10217150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2024-46336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804.5pt;width:57.100000000000001pt;height:7.9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2024-46336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726440</wp:posOffset>
              </wp:positionH>
              <wp:positionV relativeFrom="page">
                <wp:posOffset>10345420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2024-46336</w:t>
                          </w:r>
                        </w:p>
                      </w:txbxContent>
                    </wps:txbx>
                    <wps:bodyPr wrap="none" lIns="0" tIns="0" rIns="0" bIns="0">
                      <a:spAutoFit/>
                    </wps:bodyPr>
                  </wps:wsp>
                </a:graphicData>
              </a:graphic>
            </wp:anchor>
          </w:drawing>
        </mc:Choice>
        <mc:Fallback>
          <w:pict>
            <v:shape id="_x0000_s1037" type="#_x0000_t202" style="position:absolute;margin-left:57.200000000000003pt;margin-top:814.60000000000002pt;width:57.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2024-46336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10345420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2024-46336</w:t>
                          </w:r>
                        </w:p>
                      </w:txbxContent>
                    </wps:txbx>
                    <wps:bodyPr wrap="none" lIns="0" tIns="0" rIns="0" bIns="0">
                      <a:spAutoFit/>
                    </wps:bodyPr>
                  </wps:wsp>
                </a:graphicData>
              </a:graphic>
            </wp:anchor>
          </w:drawing>
        </mc:Choice>
        <mc:Fallback>
          <w:pict>
            <v:shape id="_x0000_s1043" type="#_x0000_t202" style="position:absolute;margin-left:57.200000000000003pt;margin-top:814.60000000000002pt;width:57.100000000000001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2024-46336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3924300</wp:posOffset>
              </wp:positionH>
              <wp:positionV relativeFrom="page">
                <wp:posOffset>476250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pt;margin-top:37.5pt;width:5.29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476250</wp:posOffset>
              </wp:positionV>
              <wp:extent cx="57785" cy="103505"/>
              <wp:wrapNone/>
              <wp:docPr id="9" name="Shape 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44999999999999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476250</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pt;margin-top:37.5pt;width:5.29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3930015</wp:posOffset>
              </wp:positionH>
              <wp:positionV relativeFrom="page">
                <wp:posOffset>476250</wp:posOffset>
              </wp:positionV>
              <wp:extent cx="57785" cy="103505"/>
              <wp:wrapNone/>
              <wp:docPr id="15" name="Shape 1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44999999999999pt;margin-top:37.5pt;width:4.5499999999999998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7">
    <w:name w:val="Основной текст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36363"/>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6">
    <w:name w:val="Основной текст (5)"/>
    <w:basedOn w:val="Normal"/>
    <w:link w:val="CharStyle27"/>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9">
    <w:name w:val="Основной текст (2)"/>
    <w:basedOn w:val="Normal"/>
    <w:link w:val="CharStyle30"/>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35">
    <w:name w:val="Основной текст (4)"/>
    <w:basedOn w:val="Normal"/>
    <w:link w:val="CharStyle36"/>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 Id="rId18" Type="http://schemas.openxmlformats.org/officeDocument/2006/relationships/image" Target="media/image3.jpeg"/><Relationship Id="rId19" Type="http://schemas.openxmlformats.org/officeDocument/2006/relationships/image" Target="media/image3.jpeg" TargetMode="External"/><Relationship Id="rId20" Type="http://schemas.openxmlformats.org/officeDocument/2006/relationships/image" Target="media/image4.jpeg"/><Relationship Id="rId21" Type="http://schemas.openxmlformats.org/officeDocument/2006/relationships/image" Target="media/image4.jpeg" TargetMode="External"/><Relationship Id="rId22" Type="http://schemas.openxmlformats.org/officeDocument/2006/relationships/image" Target="media/image5.jpeg"/><Relationship Id="rId23" Type="http://schemas.openxmlformats.org/officeDocument/2006/relationships/image" Target="media/image5.jpeg" TargetMode="External"/></Relationships>
</file>