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1774825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862330" distL="114300" distR="132715" simplePos="0" relativeHeight="125829379" behindDoc="0" locked="0" layoutInCell="1" allowOverlap="1">
                <wp:simplePos x="0" y="0"/>
                <wp:positionH relativeFrom="page">
                  <wp:posOffset>723265</wp:posOffset>
                </wp:positionH>
                <wp:positionV relativeFrom="paragraph">
                  <wp:posOffset>728980</wp:posOffset>
                </wp:positionV>
                <wp:extent cx="2578735" cy="1682750"/>
                <wp:wrapSquare wrapText="right"/>
                <wp:docPr id="3" name="Shape 3"/>
                <a:graphic xmlns:a="http://schemas.openxmlformats.org/drawingml/2006/main">
                  <a:graphicData uri="http://schemas.microsoft.com/office/word/2010/wordprocessingShape">
                    <wps:wsp>
                      <wps:cNvSpPr txBox="1"/>
                      <wps:spPr>
                        <a:xfrm>
                          <a:ext cx="2578735" cy="1682750"/>
                        </a:xfrm>
                        <a:prstGeom prst="rect"/>
                        <a:noFill/>
                      </wps:spPr>
                      <wps:txbx>
                        <w:txbxContent>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Федеральной антимонопольной службы</w:t>
                              <w:br/>
                              <w:t>по Волгоградской области</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7-я Гвардейская, д. 12, г. Волгоград, 400005</w:t>
                              <w:br/>
                              <w:t>тел. (8442) 24-22-65, факс (8442) 24-22-76</w:t>
                            </w:r>
                          </w:p>
                          <w:p>
                            <w:pPr>
                              <w:pStyle w:val="Style2"/>
                              <w:keepNext w:val="0"/>
                              <w:keepLines w:val="0"/>
                              <w:widowControl w:val="0"/>
                              <w:shd w:val="clear" w:color="auto" w:fill="auto"/>
                              <w:bidi w:val="0"/>
                              <w:spacing w:before="0" w:after="240" w:line="269" w:lineRule="auto"/>
                              <w:ind w:left="0" w:right="0" w:firstLine="0"/>
                              <w:jc w:val="center"/>
                            </w:pPr>
                            <w:r>
                              <w:rPr>
                                <w:spacing w:val="0"/>
                                <w:w w:val="100"/>
                                <w:position w:val="0"/>
                                <w:shd w:val="clear" w:color="auto" w:fill="auto"/>
                                <w:lang w:val="ru-RU" w:eastAsia="ru-RU" w:bidi="ru-RU"/>
                              </w:rPr>
                              <w:t>е-тай: 1о34@Га8.§оу.ги</w:t>
                            </w:r>
                          </w:p>
                          <w:p>
                            <w:pPr>
                              <w:pStyle w:val="Style7"/>
                              <w:keepNext w:val="0"/>
                              <w:keepLines w:val="0"/>
                              <w:widowControl w:val="0"/>
                              <w:shd w:val="clear" w:color="auto" w:fill="auto"/>
                              <w:tabs>
                                <w:tab w:pos="1978" w:val="left"/>
                              </w:tabs>
                              <w:bidi w:val="0"/>
                              <w:spacing w:before="0" w:after="160" w:line="240" w:lineRule="auto"/>
                              <w:ind w:left="140" w:right="0" w:firstLine="0"/>
                              <w:jc w:val="center"/>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02,10,2024</w:t>
                            </w:r>
                            <w:r>
                              <w:fldChar w:fldCharType="end"/>
                            </w:r>
                            <w:r>
                              <w:rPr>
                                <w:color w:val="000000"/>
                                <w:spacing w:val="0"/>
                                <w:w w:val="100"/>
                                <w:position w:val="0"/>
                                <w:sz w:val="30"/>
                                <w:szCs w:val="30"/>
                                <w:u w:val="single"/>
                                <w:shd w:val="clear" w:color="auto" w:fill="auto"/>
                                <w:lang w:val="ru-RU" w:eastAsia="ru-RU" w:bidi="ru-RU"/>
                              </w:rPr>
                              <w:tab/>
                              <w:t>№ 7997/24</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950000000000003pt;margin-top:57.399999999999999pt;width:203.05000000000001pt;height:132.5pt;z-index:-125829374;mso-wrap-distance-left:9.pt;mso-wrap-distance-top:56.399999999999999pt;mso-wrap-distance-right:10.450000000000001pt;mso-wrap-distance-bottom:67.900000000000006pt;mso-position-horizontal-relative:page" filled="f" stroked="f">
                <v:textbox inset="0,0,0,0">
                  <w:txbxContent>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Федеральной антимонопольной службы</w:t>
                        <w:br/>
                        <w:t>по Волгоградской области</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7-я Гвардейская, д. 12, г. Волгоград, 400005</w:t>
                        <w:br/>
                        <w:t>тел. (8442) 24-22-65, факс (8442) 24-22-76</w:t>
                      </w:r>
                    </w:p>
                    <w:p>
                      <w:pPr>
                        <w:pStyle w:val="Style2"/>
                        <w:keepNext w:val="0"/>
                        <w:keepLines w:val="0"/>
                        <w:widowControl w:val="0"/>
                        <w:shd w:val="clear" w:color="auto" w:fill="auto"/>
                        <w:bidi w:val="0"/>
                        <w:spacing w:before="0" w:after="240" w:line="269" w:lineRule="auto"/>
                        <w:ind w:left="0" w:right="0" w:firstLine="0"/>
                        <w:jc w:val="center"/>
                      </w:pPr>
                      <w:r>
                        <w:rPr>
                          <w:spacing w:val="0"/>
                          <w:w w:val="100"/>
                          <w:position w:val="0"/>
                          <w:shd w:val="clear" w:color="auto" w:fill="auto"/>
                          <w:lang w:val="ru-RU" w:eastAsia="ru-RU" w:bidi="ru-RU"/>
                        </w:rPr>
                        <w:t>е-тай: 1о34@Га8.§оу.ги</w:t>
                      </w:r>
                    </w:p>
                    <w:p>
                      <w:pPr>
                        <w:pStyle w:val="Style7"/>
                        <w:keepNext w:val="0"/>
                        <w:keepLines w:val="0"/>
                        <w:widowControl w:val="0"/>
                        <w:shd w:val="clear" w:color="auto" w:fill="auto"/>
                        <w:tabs>
                          <w:tab w:pos="1978" w:val="left"/>
                        </w:tabs>
                        <w:bidi w:val="0"/>
                        <w:spacing w:before="0" w:after="160" w:line="240" w:lineRule="auto"/>
                        <w:ind w:left="140" w:right="0" w:firstLine="0"/>
                        <w:jc w:val="center"/>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02,10,2024</w:t>
                      </w:r>
                      <w:r>
                        <w:fldChar w:fldCharType="end"/>
                      </w:r>
                      <w:r>
                        <w:rPr>
                          <w:color w:val="000000"/>
                          <w:spacing w:val="0"/>
                          <w:w w:val="100"/>
                          <w:position w:val="0"/>
                          <w:sz w:val="30"/>
                          <w:szCs w:val="30"/>
                          <w:u w:val="single"/>
                          <w:shd w:val="clear" w:color="auto" w:fill="auto"/>
                          <w:lang w:val="ru-RU" w:eastAsia="ru-RU" w:bidi="ru-RU"/>
                        </w:rPr>
                        <w:tab/>
                        <w:t>№ 7997/24</w:t>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726440</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723265</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10"/>
                              <w:keepNext w:val="0"/>
                              <w:keepLines w:val="0"/>
                              <w:widowControl w:val="0"/>
                              <w:shd w:val="clear" w:color="auto" w:fill="auto"/>
                              <w:bidi w:val="0"/>
                              <w:spacing w:before="0" w:after="0" w:line="254" w:lineRule="auto"/>
                              <w:ind w:left="0" w:right="0" w:firstLine="0"/>
                              <w:jc w:val="left"/>
                              <w:rPr>
                                <w:sz w:val="19"/>
                                <w:szCs w:val="19"/>
                              </w:rPr>
                            </w:pPr>
                            <w:r>
                              <w:rPr>
                                <w:rFonts w:ascii="Times New Roman" w:eastAsia="Times New Roman" w:hAnsi="Times New Roman" w:cs="Times New Roman"/>
                                <w:color w:val="486199"/>
                                <w:spacing w:val="0"/>
                                <w:w w:val="100"/>
                                <w:position w:val="0"/>
                                <w:sz w:val="19"/>
                                <w:szCs w:val="19"/>
                                <w:shd w:val="clear" w:color="auto" w:fill="auto"/>
                                <w:lang w:val="ru-RU" w:eastAsia="ru-RU" w:bidi="ru-RU"/>
                              </w:rPr>
                              <w:t xml:space="preserve">На№  от</w:t>
                            </w:r>
                          </w:p>
                        </w:txbxContent>
                      </wps:txbx>
                      <wps:bodyPr lIns="0" tIns="0" rIns="0" bIns="0">
                        <a:noAutoFit/>
                      </wps:bodyPr>
                    </wps:wsp>
                  </a:graphicData>
                </a:graphic>
              </wp:anchor>
            </w:drawing>
          </mc:Choice>
          <mc:Fallback>
            <w:pict>
              <v:shape id="_x0000_s1033" type="#_x0000_t202" style="position:absolute;margin-left:56.950000000000003pt;margin-top:209.30000000000001pt;width:203.05000000000001pt;height:10.300000000000001pt;z-index:251657729;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54" w:lineRule="auto"/>
                        <w:ind w:left="0" w:right="0" w:firstLine="0"/>
                        <w:jc w:val="left"/>
                        <w:rPr>
                          <w:sz w:val="19"/>
                          <w:szCs w:val="19"/>
                        </w:rPr>
                      </w:pPr>
                      <w:r>
                        <w:rPr>
                          <w:rFonts w:ascii="Times New Roman" w:eastAsia="Times New Roman" w:hAnsi="Times New Roman" w:cs="Times New Roman"/>
                          <w:color w:val="486199"/>
                          <w:spacing w:val="0"/>
                          <w:w w:val="100"/>
                          <w:position w:val="0"/>
                          <w:sz w:val="19"/>
                          <w:szCs w:val="19"/>
                          <w:shd w:val="clear" w:color="auto" w:fill="auto"/>
                          <w:lang w:val="ru-RU" w:eastAsia="ru-RU" w:bidi="ru-RU"/>
                        </w:rPr>
                        <w:t xml:space="preserve">На№  от</w:t>
                      </w:r>
                    </w:p>
                  </w:txbxContent>
                </v:textbox>
                <w10:wrap anchorx="page"/>
              </v:shape>
            </w:pict>
          </mc:Fallback>
        </mc:AlternateContent>
      </w:r>
    </w:p>
    <w:p>
      <w:pPr>
        <w:pStyle w:val="Style7"/>
        <w:keepNext w:val="0"/>
        <w:keepLines w:val="0"/>
        <w:widowControl w:val="0"/>
        <w:shd w:val="clear" w:color="auto" w:fill="auto"/>
        <w:bidi w:val="0"/>
        <w:spacing w:before="0" w:after="0" w:line="240" w:lineRule="auto"/>
        <w:ind w:left="1020" w:right="0" w:firstLine="0"/>
        <w:jc w:val="left"/>
        <w:rPr>
          <w:sz w:val="28"/>
          <w:szCs w:val="28"/>
        </w:rPr>
      </w:pPr>
      <w:r>
        <w:rPr>
          <w:color w:val="000000"/>
          <w:spacing w:val="0"/>
          <w:w w:val="100"/>
          <w:position w:val="0"/>
          <w:sz w:val="28"/>
          <w:szCs w:val="28"/>
          <w:shd w:val="clear" w:color="auto" w:fill="auto"/>
          <w:lang w:val="ru-RU" w:eastAsia="ru-RU" w:bidi="ru-RU"/>
        </w:rPr>
        <w:t>ОТДЕЛЕНИЕ ПЕНСИОННОГО ФОНДА РОССИЙСКОЙ ФЕДЕРАЦИИ ПО ВОЛГОГРАДСКОЙ ОБЛАСТИ ул. Рабоче-Крестьянская, д. 16, Волгоград, 400001</w:t>
      </w:r>
    </w:p>
    <w:p>
      <w:pPr>
        <w:pStyle w:val="Style7"/>
        <w:keepNext w:val="0"/>
        <w:keepLines w:val="0"/>
        <w:widowControl w:val="0"/>
        <w:shd w:val="clear" w:color="auto" w:fill="auto"/>
        <w:bidi w:val="0"/>
        <w:spacing w:before="0" w:after="300" w:line="240" w:lineRule="auto"/>
        <w:ind w:left="1020" w:right="0" w:firstLine="0"/>
        <w:jc w:val="left"/>
        <w:rPr>
          <w:sz w:val="28"/>
          <w:szCs w:val="28"/>
        </w:rPr>
      </w:pPr>
      <w:r>
        <w:rPr>
          <w:color w:val="000000"/>
          <w:spacing w:val="0"/>
          <w:w w:val="100"/>
          <w:position w:val="0"/>
          <w:sz w:val="28"/>
          <w:szCs w:val="28"/>
          <w:shd w:val="clear" w:color="auto" w:fill="auto"/>
          <w:lang w:val="ru-RU" w:eastAsia="ru-RU" w:bidi="ru-RU"/>
        </w:rPr>
        <w:t>орй'@044,рй’,ги</w:t>
      </w:r>
    </w:p>
    <w:p>
      <w:pPr>
        <w:pStyle w:val="Style7"/>
        <w:keepNext w:val="0"/>
        <w:keepLines w:val="0"/>
        <w:widowControl w:val="0"/>
        <w:shd w:val="clear" w:color="auto" w:fill="auto"/>
        <w:bidi w:val="0"/>
        <w:spacing w:before="0" w:after="0" w:line="240" w:lineRule="auto"/>
        <w:ind w:left="1020" w:right="0" w:firstLine="0"/>
        <w:jc w:val="left"/>
        <w:rPr>
          <w:sz w:val="28"/>
          <w:szCs w:val="28"/>
        </w:rPr>
      </w:pPr>
      <w:r>
        <w:rPr>
          <w:color w:val="000000"/>
          <w:spacing w:val="0"/>
          <w:w w:val="100"/>
          <w:position w:val="0"/>
          <w:sz w:val="28"/>
          <w:szCs w:val="28"/>
          <w:shd w:val="clear" w:color="auto" w:fill="auto"/>
          <w:lang w:val="ru-RU" w:eastAsia="ru-RU" w:bidi="ru-RU"/>
        </w:rPr>
        <w:t>ООО «Медпроф»</w:t>
      </w:r>
    </w:p>
    <w:p>
      <w:pPr>
        <w:pStyle w:val="Style7"/>
        <w:keepNext w:val="0"/>
        <w:keepLines w:val="0"/>
        <w:widowControl w:val="0"/>
        <w:shd w:val="clear" w:color="auto" w:fill="auto"/>
        <w:bidi w:val="0"/>
        <w:spacing w:before="0" w:after="1340" w:line="240" w:lineRule="auto"/>
        <w:ind w:left="1020" w:right="0" w:firstLine="0"/>
        <w:jc w:val="left"/>
        <w:rPr>
          <w:sz w:val="28"/>
          <w:szCs w:val="28"/>
        </w:rPr>
      </w:pPr>
      <w:r>
        <w:rPr>
          <w:color w:val="000000"/>
          <w:spacing w:val="0"/>
          <w:w w:val="100"/>
          <w:position w:val="0"/>
          <w:sz w:val="28"/>
          <w:szCs w:val="28"/>
          <w:shd w:val="clear" w:color="auto" w:fill="auto"/>
          <w:lang w:val="ru-RU" w:eastAsia="ru-RU" w:bidi="ru-RU"/>
        </w:rPr>
        <w:t>ул, Садовского, д, 25/30, офис 1, Новомосковск, Тульская обл,, 301650 тедргоГ,ооо@Ък,ги; 1а^уег8@йп- 1ги8!,ги; 1а\ууе1@Тт-1П181,П1</w:t>
      </w:r>
    </w:p>
    <w:p>
      <w:pPr>
        <w:pStyle w:val="Style7"/>
        <w:keepNext w:val="0"/>
        <w:keepLines w:val="0"/>
        <w:widowControl w:val="0"/>
        <w:shd w:val="clear" w:color="auto" w:fill="auto"/>
        <w:bidi w:val="0"/>
        <w:spacing w:before="0" w:after="300" w:line="240" w:lineRule="auto"/>
        <w:ind w:left="0" w:right="0" w:firstLine="0"/>
        <w:jc w:val="center"/>
      </w:pPr>
      <w:r>
        <w:rPr>
          <w:color w:val="000000"/>
          <w:spacing w:val="0"/>
          <w:w w:val="100"/>
          <w:position w:val="0"/>
          <w:shd w:val="clear" w:color="auto" w:fill="auto"/>
          <w:lang w:val="ru-RU" w:eastAsia="ru-RU" w:bidi="ru-RU"/>
        </w:rPr>
        <w:t>РЕШЕНИЕ</w:t>
        <w:br/>
        <w:t>по делу № 034/06/105-1487/2024</w:t>
        <w:br/>
        <w:t>о нарушении законодательства о контрактной системе</w:t>
      </w:r>
    </w:p>
    <w:p>
      <w:pPr>
        <w:pStyle w:val="Style7"/>
        <w:keepNext w:val="0"/>
        <w:keepLines w:val="0"/>
        <w:widowControl w:val="0"/>
        <w:shd w:val="clear" w:color="auto" w:fill="auto"/>
        <w:bidi w:val="0"/>
        <w:spacing w:before="0" w:after="300" w:line="240" w:lineRule="auto"/>
        <w:ind w:left="0" w:right="0" w:firstLine="0"/>
        <w:jc w:val="left"/>
      </w:pPr>
      <w:r>
        <mc:AlternateContent>
          <mc:Choice Requires="wps">
            <w:drawing>
              <wp:anchor distT="0" distB="0" distL="114300" distR="114300" simplePos="0" relativeHeight="125829382" behindDoc="0" locked="0" layoutInCell="1" allowOverlap="1">
                <wp:simplePos x="0" y="0"/>
                <wp:positionH relativeFrom="page">
                  <wp:posOffset>6417310</wp:posOffset>
                </wp:positionH>
                <wp:positionV relativeFrom="paragraph">
                  <wp:posOffset>12700</wp:posOffset>
                </wp:positionV>
                <wp:extent cx="758825" cy="234950"/>
                <wp:wrapSquare wrapText="left"/>
                <wp:docPr id="9" name="Shape 9"/>
                <a:graphic xmlns:a="http://schemas.openxmlformats.org/drawingml/2006/main">
                  <a:graphicData uri="http://schemas.microsoft.com/office/word/2010/wordprocessingShape">
                    <wps:wsp>
                      <wps:cNvSpPr txBox="1"/>
                      <wps:spPr>
                        <a:xfrm>
                          <a:ext cx="758825" cy="2349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Волгоград</w:t>
                            </w:r>
                          </w:p>
                        </w:txbxContent>
                      </wps:txbx>
                      <wps:bodyPr wrap="none" lIns="0" tIns="0" rIns="0" bIns="0">
                        <a:noAutoFit/>
                      </wps:bodyPr>
                    </wps:wsp>
                  </a:graphicData>
                </a:graphic>
              </wp:anchor>
            </w:drawing>
          </mc:Choice>
          <mc:Fallback>
            <w:pict>
              <v:shape id="_x0000_s1035" type="#_x0000_t202" style="position:absolute;margin-left:505.30000000000001pt;margin-top:1.pt;width:59.75pt;height:18.5pt;z-index:-125829371;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Волгоград</w:t>
                      </w:r>
                    </w:p>
                  </w:txbxContent>
                </v:textbox>
                <w10:wrap type="square" side="left" anchorx="page"/>
              </v:shape>
            </w:pict>
          </mc:Fallback>
        </mc:AlternateContent>
      </w:r>
      <w:r>
        <w:rPr>
          <w:color w:val="000000"/>
          <w:spacing w:val="0"/>
          <w:w w:val="100"/>
          <w:position w:val="0"/>
          <w:shd w:val="clear" w:color="auto" w:fill="auto"/>
          <w:lang w:val="ru-RU" w:eastAsia="ru-RU" w:bidi="ru-RU"/>
        </w:rPr>
        <w:t>27 сентября 2024 года</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Волгоградской области (далее - Волгоградское УФАС России, Управление) по контролю за соблюдением законодательства о контрактной системе в составе:</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Моисеев С,В, - председатель Комиссии, заместитель начальника отдела контроля государственных и муниципальных закупок, недобросовестной конкуренции и рекламы;</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Ивченко Н,И, - член Комиссии, старший государственный инспектор отдела контроля государственных и муниципальных закупок, недобросовестной конкуренции и рекламы;</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Джафаров Р,Ш, - член Комиссии, специалист 1 разряда отдела контроля государственных и муниципальных закупок, недобросовестной конкуренции и рекламы, осуществляя рассмотрение жалобы дистанционно (посредством видеоконференцсвязи), с участием:</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Кривоусовой Н,М,- представителя Отделения Фонда пенсионного и социального страхования Российской Федерации по Волгоградской области (далее - Заказчик), на основании доверенности № ВФ-116 от 25,06,2024,</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Ишназаровой Г,Г, - представителя Отделения Фонда пенсионного и социального страхования Российской Федерации по Волгоградской области (далее - Заказчик), на основании доверенности № ВФ-94 от 18,04,2024,</w:t>
      </w:r>
    </w:p>
    <w:p>
      <w:pPr>
        <w:pStyle w:val="Style7"/>
        <w:keepNext w:val="0"/>
        <w:keepLines w:val="0"/>
        <w:widowControl w:val="0"/>
        <w:shd w:val="clear" w:color="auto" w:fill="auto"/>
        <w:bidi w:val="0"/>
        <w:spacing w:before="0" w:after="300" w:line="240" w:lineRule="auto"/>
        <w:ind w:left="0" w:right="0" w:firstLine="740"/>
        <w:jc w:val="both"/>
      </w:pPr>
      <w:r>
        <w:rPr>
          <w:color w:val="000000"/>
          <w:spacing w:val="0"/>
          <w:w w:val="100"/>
          <w:position w:val="0"/>
          <w:shd w:val="clear" w:color="auto" w:fill="auto"/>
          <w:lang w:val="ru-RU" w:eastAsia="ru-RU" w:bidi="ru-RU"/>
        </w:rPr>
        <w:t>рассмотрев жалобу ООО «Медпроф» вх, № 9998/24 от 23,09,2024 на действия комиссии по осуществлению закупок при проведении электронного аукциона «Поставка сигнализаторов звука цифровой с вибрационной индикацией и сигнализаторов звука</w:t>
      </w:r>
    </w:p>
    <w:p>
      <w:pPr>
        <w:pStyle w:val="Style17"/>
        <w:keepNext/>
        <w:keepLines/>
        <w:widowControl w:val="0"/>
        <w:shd w:val="clear" w:color="auto" w:fill="auto"/>
        <w:bidi w:val="0"/>
        <w:spacing w:before="0" w:line="240" w:lineRule="auto"/>
        <w:ind w:left="0" w:right="0" w:firstLine="0"/>
        <w:jc w:val="both"/>
        <w:sectPr>
          <w:footerReference w:type="default" r:id="rId9"/>
          <w:footnotePr>
            <w:pos w:val="pageBottom"/>
            <w:numFmt w:val="decimal"/>
            <w:numRestart w:val="continuous"/>
          </w:footnotePr>
          <w:pgSz w:w="11900" w:h="16840"/>
          <w:pgMar w:top="284" w:right="412" w:bottom="1226" w:left="1101" w:header="0" w:footer="3" w:gutter="0"/>
          <w:pgNumType w:start="1"/>
          <w:cols w:space="720"/>
          <w:noEndnote/>
          <w:rtlGutter w:val="0"/>
          <w:docGrid w:linePitch="360"/>
        </w:sectPr>
      </w:pPr>
      <w:bookmarkStart w:id="0" w:name="bookmark0"/>
      <w:r>
        <w:rPr>
          <w:color w:val="000000"/>
          <w:spacing w:val="0"/>
          <w:position w:val="0"/>
          <w:shd w:val="clear" w:color="auto" w:fill="auto"/>
          <w:lang w:val="ru-RU" w:eastAsia="ru-RU" w:bidi="ru-RU"/>
        </w:rPr>
        <w:t>1111111111IIIII НИИ III</w:t>
      </w:r>
      <w:bookmarkEnd w:id="0"/>
    </w:p>
    <w:p>
      <w:pPr>
        <w:pStyle w:val="Style7"/>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цифровой с вибрационной и световой индикацией» (номер извещения 0229100000224000272),</w:t>
      </w:r>
    </w:p>
    <w:p>
      <w:pPr>
        <w:pStyle w:val="Style7"/>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официальном сайте \у\у\у./акирк1.доу.ги (далее - ЕИС) 16.09.2024 было размещено извещение о проведении электронного аукциона «Поставка сигнализаторов звука цифровой с вибрационной индикацией и сигнализаторов звука цифровой с вибрационной и световой индикацией» (номер извещения 0229100000224000272 далее - извещение). Заказчик - Отделение фонда пенсионного и социального страхования Российской Федерации по Волгоградской области (далее - Заказчик). Начальная (максимальная) цена контракта - 3 500 000,00 рублей.</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доводу жалобы, Заказчиком допущены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ввиду установления в описании объекта закупки необоснованных функций, а также нарушения опубликованным проектом договора требований, предусмотренных типовым контрактом на поставку отдельных видов технических средств реабилитации, а также нормам Закона о контрактной системе.</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установила следующее.</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 2 ч. 1 ст. 33 Закона о контрактной системе заказчик в случаях, предусмотренных Законом о контрактной системе, при описании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соответствии с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Федерального закона, в том числе приводят к </w:t>
      </w:r>
      <w:r>
        <w:rPr>
          <w:color w:val="000000"/>
          <w:spacing w:val="0"/>
          <w:w w:val="100"/>
          <w:position w:val="0"/>
          <w:shd w:val="clear" w:color="auto" w:fill="auto"/>
          <w:lang w:val="ru-RU" w:eastAsia="ru-RU" w:bidi="ru-RU"/>
        </w:rPr>
        <w:t>ограничению конкуренции, в частности к необоснованному ограничению числа участников закупок.</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отмечает, что при описании объекта закупки заказчики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 пояснил, что описанию объекта закупки, помимо товара ОАО «Исток Аудио Интернэшнл», соответствуют товары как минимум двух производителей: ООО «Элита Групп» (сигнализатор звука «Энеджи») и ООО КБ «Контур» (сигнализатор звука «Вибролайн»).</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 Заказчиком представлена сравнительная таблица, подтверждающая указанный довод.</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Заявителем документального опровержения доводов, указанных Заказчиком, не представлено.</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Следовательно, довод жалобы не нашел свое подтверждение и является необоснованным.</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отмечает, что в случае, если Заявителем усматривается нарушение Заказчиком Федерального закона «О защите конкуренции» от 26.07.2006 № 135-ФЗ (далее - Закон о защите конкуренции), Заявитель имеет право обратиться в Волгоградское УФАС России с заявлением о нарушении антимонопольного законодательства.</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этом такое заявление должно содержать сведения,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25.05.2012 № 339, также к заявлению должны быть приложены документы, свидетельствующие о фактах нарушения антимонопольного законодательства.</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следующему доводу Заказчиком нарушены положения Закона о контрактной системе, ввиду несоответствия проекта государственного контракта требованиям, установленным нормами Закона о контрактной системе и типовым контрактом, утвержденным Приказом Министерства труда и социальной защиты РФ от 11.03.2019 г. № 144н «Об утверждении типового контракта на поставку отдельных видов технических средств реабилитации серийного производства, не требующих индивидуального изготовления, предусмотренных федеральным перечнем реабилитационных мероприятий, технических средств реабилитации и услуг, предоставляемых инвалиду, и информационной карты типового контракта на поставку отдельных видов технических средств реабилитации серийного производства, не требующих индивидуального изготовления, предусмотренных федеральным перечнем реабилитационных мероприятий, технических средств реабилитации и услуг, предоставляемых инвалиду» (далее - Приказ Минтруда о типовых контрактах).</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установила следующее.</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 5 ч. 2 ст. 42 Закона о контрактной системе извещение об осуществлении закупки должно содержать проект государственного контракта, являющийся неотъемлемой частью такого извещения.</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 11 ст. 34 Закона о контрактной системе Правительство Российской Федерации вправе установить типовые условия контрактов, подлежащие применению заказчиками при осуществлении закупок.</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 12 ст. 8 Федерального закона «О внесении изменений в отдельные законодательные акты Российской Федерации» от 02.07.2021 № 360-ФЗ условия типовых контрактов и типовые условия контрактов применяются в части, не противоречащей Федеральному закону от 5 апреля 2013 года № 44-ФЗ «О контрактной системе в сфере закупок товаров, работ, услуг для обеспечения государственных и муниципальных нужд»), до утверждения Правительством Российской Федерации в соответствии с частью 11 статьи 34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типовых условий контрактов.</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Приказом Минтруда о типовых контрактах утвержден типовой контракт на поставку отдельных видов технических средств реабилитации серийного производства, не требующих индивидуального изготовления, предусмотренных федеральным перечнем реабилитационных мероприятий, технических средств реабилитации и услуг, предоставляемых инвалиду, и информационной карты типового контракта на поставку отдельных видов технических средств реабилитации серийного производства, не требующих индивидуального изготовления, предусмотренных федеральным перечнем реабилитационных мероприятий, технических средств реабилитации и услуг, предоставляемых инвалиду, который обязателен для применения Заказчиком.</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Информационным письмом Минфина России от 14.02.2022 № 24-01-09/10138 «О направлении информации о применении Федерального закона от 5 апреля 2013 г. ^ 44-ФЗ в редакции Федерального закона от 2 июля 2021 г. ^ 360-ФЗ» установлено, что внесение изменений в типовые условия контракта не допускается, за исключением условий, которые противоречат действующим положениям Закона о контрактной системе.</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Заказчик, использовавший в настоящей закупке условия типового контракта (номер типового контракта: 1400700000419023), в 5.1 Контракта установил срок поставки товара получателем, который не должен превышать 25 календарных дней.</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Однако в отношении срока поставки товара получателем типовыми условиями контракта установлен в 30 календарных дней.</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выявлено несоответствие п. 5.1 условиям типового договора, что является нарушением ч. 11 ст. 34 Закона о контрактной системе и ч. 12 ст. 8 Федерального закона от 02.07.2021 № 360-ФЗ «О внесении изменений в отдельные законодательные акты Российской Федерации».</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Также является обоснованным довод Заявителя в отношении п. 8.1 проекта Контракта.</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ч. 24 ст. 22 Закона о контрактной системе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Закона о контрактной системе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w:t>
      </w:r>
      <w:r>
        <w:rPr>
          <w:color w:val="000000"/>
          <w:spacing w:val="0"/>
          <w:w w:val="100"/>
          <w:position w:val="0"/>
          <w:shd w:val="clear" w:color="auto" w:fill="auto"/>
          <w:lang w:val="ru-RU" w:eastAsia="ru-RU" w:bidi="ru-RU"/>
        </w:rPr>
        <w:t>услуги. При этом положения Закона о контрактной системе,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пункте 8.1 Контракта содержится условие о сокращении общего количества товара, поставляемого по Контракту в случае сокращения потребности в поставке товара и невозможности заказчика выдать направление на все количество товара, предусмотренного Контрактом.</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примечанию 55 приказа Министерства труда и социальной защиты от 11.03.2019 № 144н, данный пункт не включается при осуществлении закупки товара с неизвестным объемом поставки, в соответствии с требованиями ч. 24 ст. 22 Закона о контрактной системе.</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извещению, рассматриваемая закупка является закупкой товара с неизвестным объемом поставки, в связи с чем имеется несоответствие положений проекта Контракта положениям типового договора.</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Помимо вышеуказанных доводов, Заявитель в жалобе обращает внимание на следующее:</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пп. 8.2.1 Контракта установлено, что стороны при электронном взаимодействии обязуются:</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Оформлять первичные учетные документы и иные сопутствующие документы в форме электронных документов, подписанных усиленной квалифицированной подписью, включая, но не ограничиваясь следующими:</w:t>
      </w:r>
    </w:p>
    <w:p>
      <w:pPr>
        <w:pStyle w:val="Style7"/>
        <w:keepNext w:val="0"/>
        <w:keepLines w:val="0"/>
        <w:widowControl w:val="0"/>
        <w:numPr>
          <w:ilvl w:val="0"/>
          <w:numId w:val="1"/>
        </w:numPr>
        <w:shd w:val="clear" w:color="auto" w:fill="auto"/>
        <w:tabs>
          <w:tab w:pos="95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документы на поставку товара, а также отдельных этапов поставки Товара, включая документы, предоставление которых предусмотрено в целях осуществления приемки поставленного Товара, а также отдельных этапов поставки Товара;</w:t>
      </w:r>
    </w:p>
    <w:p>
      <w:pPr>
        <w:pStyle w:val="Style7"/>
        <w:keepNext w:val="0"/>
        <w:keepLines w:val="0"/>
        <w:widowControl w:val="0"/>
        <w:numPr>
          <w:ilvl w:val="0"/>
          <w:numId w:val="1"/>
        </w:numPr>
        <w:shd w:val="clear" w:color="auto" w:fill="auto"/>
        <w:tabs>
          <w:tab w:pos="95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документы на оплату поставленного Товара, а также отдельных этапов поставки Товара.</w:t>
      </w:r>
    </w:p>
    <w:p>
      <w:pPr>
        <w:pStyle w:val="Style7"/>
        <w:keepNext w:val="0"/>
        <w:keepLines w:val="0"/>
        <w:widowControl w:val="0"/>
        <w:numPr>
          <w:ilvl w:val="1"/>
          <w:numId w:val="3"/>
        </w:numPr>
        <w:shd w:val="clear" w:color="auto" w:fill="auto"/>
        <w:tabs>
          <w:tab w:pos="124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Для проверки исполнения обязательств, предусмотренных Контрактом, в части их соответствия условиям Контракта Заказчиком проводится экспертиза результатов исполнения Контракта (отдельного этапа исполнения Контракта)...</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проведении экспертизы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w:t>
      </w:r>
    </w:p>
    <w:p>
      <w:pPr>
        <w:pStyle w:val="Style7"/>
        <w:keepNext w:val="0"/>
        <w:keepLines w:val="0"/>
        <w:widowControl w:val="0"/>
        <w:numPr>
          <w:ilvl w:val="1"/>
          <w:numId w:val="5"/>
        </w:numPr>
        <w:shd w:val="clear" w:color="auto" w:fill="auto"/>
        <w:tabs>
          <w:tab w:pos="124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Если выявленные при приемке несоответствия не препятствует приемке поставленного Товара по Контракту (по отдельному этапу Контракта) и устранено Поставщиком в установленный Заказчиком срок, Заказчик вправе подписать документ о приемке.</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10.1. В случае составления отрицательного заключения по итогам проведения Заказчиком экспертизы результатов исполнения Контракта (отдельного этапа исполнения Контракта), а также заключения.»</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письменным пояснениям Заявителя, в соответствии п. 8 ч. 1 ст. 42 Закона о контрактной системе извещение об осуществлении закупки должно содержать в том числе срок исполнения контракта (отдельных этапов исполнения контракта, если проектом контракта предусмотрены такие этапы).</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указал, что помимо этапов поставки товара, в вышеуказанных пунктах содержится и другая информация, ввиду того, что в этих пунктах используются общие положения типового контракта.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считает, что указание общих положений, предусмотренных типовым договором, нарушением не является.</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Заявителем документального опровержения доводов, указанных Заказчиком, не представлено.</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довод жалобы не нашел свое подтверждение и является необоснованным.</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Заказчиком в п. 12.2 Контракта установлено, что претензия оформляется в письменной форме или в форме электронных документов, подписанных УКЭП.</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мнению Заявителя жалобы, такое положение в Контракте нарушает ч. 16 ст. 94 Закона о контрактной системе, согласно которой,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пунктом 5 части 11 статьи 24 Закона о контрактной системе), такой обмен осуществляется с использованием единой информационной системы путем направления электронных уведомлений.</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в пояснении указано, что «претензионная переписка осуществляется и будет осуществляться в соответствии с ч 16 ст. 94 Закона о контрактной системе Пункт 12.2 не был отредактирован или исключен из текста проекта контракта ввиду того, что Заказчиком рассматривался как дополнительный способ уведомления контрагента о наличии претензии».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исходя из вышеизложенного, не усматривает в действиях Заказчика нарушения правил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признает довод Заявителя необоснованным.</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Заявителем документального опровержения доводов, указанных Заказчиком, не представлено.</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довод жалобы не нашел свое подтверждение и является необоснованным.</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по факту рассмотрения настоящей жалобы, Комиссия признает ее частично обоснованной в части довода о несоответствии п 5.1 и п. 8.1 проекта государственного контракта требованиям, установленным нормами Федерального закона от</w:t>
      </w:r>
      <w:r>
        <w:br w:type="page"/>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05.04.2013 № 44-ФЗ «О контрактной системе в сфере закупок товаров, работ, услуг для обеспечения государственных и муниципальных нужд» и типовым контрактом, утвержденным приказом Министерства труда и социальной защиты от 11.03.2019 № 144н.</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жалобы на заседание Комиссии не явился, на пояснения Заказчика возражений не представил.</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не усматривает оснований для выдачи Заказчику обязательного для исполнения предписания об устранении нарушений, ввиду того, что в настоящем случае не представлены доказательства о влиянии данных нарушений на процесс определения поставщика.</w:t>
      </w:r>
    </w:p>
    <w:p>
      <w:pPr>
        <w:pStyle w:val="Style7"/>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Руководствуясь главой 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pPr>
        <w:pStyle w:val="Style7"/>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РЕШИЛА:</w:t>
      </w:r>
    </w:p>
    <w:p>
      <w:pPr>
        <w:pStyle w:val="Style7"/>
        <w:keepNext w:val="0"/>
        <w:keepLines w:val="0"/>
        <w:widowControl w:val="0"/>
        <w:numPr>
          <w:ilvl w:val="0"/>
          <w:numId w:val="7"/>
        </w:numPr>
        <w:shd w:val="clear" w:color="auto" w:fill="auto"/>
        <w:tabs>
          <w:tab w:pos="104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жалобу ООО «Медпроф» вх. № 9998/24 от 23.09.2024 на действия комиссии по осуществлению закупок при проведении электронного аукциона «Поставка сигнализаторов звука цифровой с вибрационной индикацией и сигнализаторов звука цифровой с вибрационной и световой индикацией» (номер извещения 0229100000224000272) частично обоснованной в части довода о несоответствии п. 5.1 и п. 8.1 проекта государственного контракта требованиям, установленным нормами Федерального закона от 05.04.2013 № 44-ФЗ «О контрактной системе в сфере закупок товаров, работ, услуг для обеспечения государственных и муниципальных нужд» и типовым контрактом, утвержденным приказом Министерства труда и социальной защиты от 11.03.2019 № 144н.</w:t>
      </w:r>
    </w:p>
    <w:p>
      <w:pPr>
        <w:pStyle w:val="Style7"/>
        <w:keepNext w:val="0"/>
        <w:keepLines w:val="0"/>
        <w:widowControl w:val="0"/>
        <w:numPr>
          <w:ilvl w:val="0"/>
          <w:numId w:val="7"/>
        </w:numPr>
        <w:shd w:val="clear" w:color="auto" w:fill="auto"/>
        <w:tabs>
          <w:tab w:pos="104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Заказчика - Отделение фонда пенсионного и социального страхования РФ по Волгоградской области - нарушившим ч. 11 ст. 34 Федерального закона от 05.04.2013 № 44-ФЗ «О контрактной системе в сфере закупок товаров, работ, услуг для обеспечения государственных и муниципальных нужд» и ч. 12 ст. 8 Федерального закона «О внесении изменений в отдельные законодательные акты Российской Федерации» от 02.07.2021 № 360-ФЗ.</w:t>
      </w:r>
    </w:p>
    <w:p>
      <w:pPr>
        <w:pStyle w:val="Style7"/>
        <w:keepNext w:val="0"/>
        <w:keepLines w:val="0"/>
        <w:widowControl w:val="0"/>
        <w:numPr>
          <w:ilvl w:val="0"/>
          <w:numId w:val="7"/>
        </w:numPr>
        <w:shd w:val="clear" w:color="auto" w:fill="auto"/>
        <w:tabs>
          <w:tab w:pos="104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Передать материалы дела уполномоченному должностному лицу для рассмотрения вопроса о возбуждении дела об административном правонарушении в соответствии с Кодексом Российской Федерации об административных правонарушениях в отношении ответственного должностного лица Заказчика.</w:t>
      </w:r>
    </w:p>
    <w:p>
      <w:pPr>
        <w:widowControl w:val="0"/>
        <w:spacing w:line="1" w:lineRule="exact"/>
      </w:pPr>
      <w:r>
        <mc:AlternateContent>
          <mc:Choice Requires="wps">
            <w:drawing>
              <wp:anchor distT="660400" distB="231775" distL="0" distR="0" simplePos="0" relativeHeight="125829384" behindDoc="0" locked="0" layoutInCell="1" allowOverlap="1">
                <wp:simplePos x="0" y="0"/>
                <wp:positionH relativeFrom="page">
                  <wp:posOffset>731520</wp:posOffset>
                </wp:positionH>
                <wp:positionV relativeFrom="paragraph">
                  <wp:posOffset>660400</wp:posOffset>
                </wp:positionV>
                <wp:extent cx="1828800" cy="243840"/>
                <wp:wrapTopAndBottom/>
                <wp:docPr id="13" name="Shape 13"/>
                <a:graphic xmlns:a="http://schemas.openxmlformats.org/drawingml/2006/main">
                  <a:graphicData uri="http://schemas.microsoft.com/office/word/2010/wordprocessingShape">
                    <wps:wsp>
                      <wps:cNvSpPr txBox="1"/>
                      <wps:spPr>
                        <a:xfrm>
                          <a:ext cx="1828800" cy="24384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9" type="#_x0000_t202" style="position:absolute;margin-left:57.600000000000001pt;margin-top:52.pt;width:144.pt;height:19.199999999999999pt;z-index:-125829369;mso-wrap-distance-left:0;mso-wrap-distance-top:52.pt;mso-wrap-distance-right:0;mso-wrap-distance-bottom:18.2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751840" distB="21590" distL="0" distR="1804670" simplePos="0" relativeHeight="125829386" behindDoc="0" locked="0" layoutInCell="1" allowOverlap="1">
            <wp:simplePos x="0" y="0"/>
            <wp:positionH relativeFrom="page">
              <wp:posOffset>2675890</wp:posOffset>
            </wp:positionH>
            <wp:positionV relativeFrom="paragraph">
              <wp:posOffset>751840</wp:posOffset>
            </wp:positionV>
            <wp:extent cx="311150" cy="36576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0"/>
                    <a:stretch/>
                  </pic:blipFill>
                  <pic:spPr>
                    <a:xfrm>
                      <a:ext cx="311150"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3068955</wp:posOffset>
                </wp:positionH>
                <wp:positionV relativeFrom="paragraph">
                  <wp:posOffset>821690</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1.65000000000001pt;margin-top:64.700000000000003pt;width:135.59999999999999pt;height:20.150000000000002pt;z-index:251657731;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907415" distB="0" distL="0" distR="0" simplePos="0" relativeHeight="125829387" behindDoc="0" locked="0" layoutInCell="1" allowOverlap="1">
                <wp:simplePos x="0" y="0"/>
                <wp:positionH relativeFrom="page">
                  <wp:posOffset>6126480</wp:posOffset>
                </wp:positionH>
                <wp:positionV relativeFrom="paragraph">
                  <wp:posOffset>907415</wp:posOffset>
                </wp:positionV>
                <wp:extent cx="1054735" cy="228600"/>
                <wp:wrapTopAndBottom/>
                <wp:docPr id="19" name="Shape 19"/>
                <a:graphic xmlns:a="http://schemas.openxmlformats.org/drawingml/2006/main">
                  <a:graphicData uri="http://schemas.microsoft.com/office/word/2010/wordprocessingShape">
                    <wps:wsp>
                      <wps:cNvSpPr txBox="1"/>
                      <wps:spPr>
                        <a:xfrm>
                          <a:ext cx="1054735" cy="22860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С.В. Моисеев</w:t>
                            </w:r>
                          </w:p>
                        </w:txbxContent>
                      </wps:txbx>
                      <wps:bodyPr wrap="none" lIns="0" tIns="0" rIns="0" bIns="0">
                        <a:noAutoFit/>
                      </wps:bodyPr>
                    </wps:wsp>
                  </a:graphicData>
                </a:graphic>
              </wp:anchor>
            </w:drawing>
          </mc:Choice>
          <mc:Fallback>
            <w:pict>
              <v:shape id="_x0000_s1045" type="#_x0000_t202" style="position:absolute;margin-left:482.40000000000003pt;margin-top:71.450000000000003pt;width:83.049999999999997pt;height:18.pt;z-index:-125829366;mso-wrap-distance-left:0;mso-wrap-distance-top:71.450000000000003pt;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С.В. Моисеев</w:t>
                      </w:r>
                    </w:p>
                  </w:txbxContent>
                </v:textbox>
                <w10:wrap type="topAndBottom" anchorx="page"/>
              </v:shape>
            </w:pict>
          </mc:Fallback>
        </mc:AlternateContent>
      </w:r>
    </w:p>
    <w:p>
      <w:pPr>
        <w:pStyle w:val="Style21"/>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2"/>
          <w:szCs w:val="12"/>
        </w:rPr>
      </w:pPr>
      <w:r>
        <w:rPr>
          <w:color w:val="E9E9E9"/>
          <w:spacing w:val="0"/>
          <w:w w:val="100"/>
          <w:position w:val="0"/>
          <w:sz w:val="12"/>
          <w:szCs w:val="12"/>
          <w:shd w:val="clear" w:color="auto" w:fill="auto"/>
          <w:lang w:val="ru-RU" w:eastAsia="ru-RU" w:bidi="ru-RU"/>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676767"/>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Моисеев Сергей Владимирович</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00Е6С74О8575АС586СО384В7Е96Ю85ЕЕ9</w:t>
      </w:r>
    </w:p>
    <w:p>
      <w:pPr>
        <w:pStyle w:val="Style24"/>
        <w:keepNext w:val="0"/>
        <w:keepLines w:val="0"/>
        <w:widowControl w:val="0"/>
        <w:shd w:val="clear" w:color="auto" w:fill="auto"/>
        <w:bidi w:val="0"/>
        <w:spacing w:before="0" w:after="280" w:line="240" w:lineRule="auto"/>
        <w:ind w:right="0" w:firstLine="0"/>
        <w:jc w:val="left"/>
      </w:pPr>
      <w:r>
        <w:rPr>
          <w:color w:val="676767"/>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76767"/>
          <w:spacing w:val="0"/>
          <w:w w:val="100"/>
          <w:position w:val="0"/>
          <w:shd w:val="clear" w:color="auto" w:fill="auto"/>
          <w:lang w:val="ru-RU" w:eastAsia="ru-RU" w:bidi="ru-RU"/>
        </w:rPr>
        <w:t>21.06.2024 по 14.09.2025</w:t>
      </w:r>
    </w:p>
    <w:p>
      <w:pPr>
        <w:pStyle w:val="Style7"/>
        <w:keepNext w:val="0"/>
        <w:keepLines w:val="0"/>
        <w:widowControl w:val="0"/>
        <w:shd w:val="clear" w:color="auto" w:fill="auto"/>
        <w:bidi w:val="0"/>
        <w:spacing w:before="0" w:after="6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r>
        <w:br w:type="page"/>
      </w:r>
    </w:p>
    <w:p>
      <w:pPr>
        <w:widowControl w:val="0"/>
        <w:spacing w:line="1" w:lineRule="exact"/>
      </w:pPr>
      <w:r>
        <w:drawing>
          <wp:anchor distT="73025" distB="0" distL="0" distR="1786255" simplePos="0" relativeHeight="125829389" behindDoc="0" locked="0" layoutInCell="1" allowOverlap="1">
            <wp:simplePos x="0" y="0"/>
            <wp:positionH relativeFrom="page">
              <wp:posOffset>2694940</wp:posOffset>
            </wp:positionH>
            <wp:positionV relativeFrom="paragraph">
              <wp:posOffset>73025</wp:posOffset>
            </wp:positionV>
            <wp:extent cx="353695" cy="536575"/>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2"/>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3152140</wp:posOffset>
                </wp:positionH>
                <wp:positionV relativeFrom="paragraph">
                  <wp:posOffset>475615</wp:posOffset>
                </wp:positionV>
                <wp:extent cx="1283335" cy="103505"/>
                <wp:wrapNone/>
                <wp:docPr id="23" name="Shape 2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48.20000000000002pt;margin-top:37.450000000000003pt;width:101.05pt;height:8.1500000000000004pt;z-index:251657733;mso-wrap-distance-left:0;mso-wrap-distance-right:0;mso-position-horizontal-relative:page" filled="f" stroked="f">
                <v:textbox inset="0,0,0,0">
                  <w:txbxContent>
                    <w:p>
                      <w:pPr>
                        <w:pStyle w:val="Style1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3109595</wp:posOffset>
                </wp:positionH>
                <wp:positionV relativeFrom="paragraph">
                  <wp:posOffset>164465</wp:posOffset>
                </wp:positionV>
                <wp:extent cx="1722120" cy="255905"/>
                <wp:wrapNone/>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1" type="#_x0000_t202" style="position:absolute;margin-left:244.84999999999999pt;margin-top:12.950000000000001pt;width:135.59999999999999pt;height:20.150000000000002pt;z-index:251657735;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0" distB="356870" distL="0" distR="0" simplePos="0" relativeHeight="125829390" behindDoc="0" locked="0" layoutInCell="1" allowOverlap="1">
                <wp:simplePos x="0" y="0"/>
                <wp:positionH relativeFrom="page">
                  <wp:posOffset>6166485</wp:posOffset>
                </wp:positionH>
                <wp:positionV relativeFrom="paragraph">
                  <wp:posOffset>0</wp:posOffset>
                </wp:positionV>
                <wp:extent cx="1054735" cy="252730"/>
                <wp:wrapTopAndBottom/>
                <wp:docPr id="27" name="Shape 27"/>
                <a:graphic xmlns:a="http://schemas.openxmlformats.org/drawingml/2006/main">
                  <a:graphicData uri="http://schemas.microsoft.com/office/word/2010/wordprocessingShape">
                    <wps:wsp>
                      <wps:cNvSpPr txBox="1"/>
                      <wps:spPr>
                        <a:xfrm>
                          <a:ext cx="1054735" cy="2527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Н.И. Ивченко</w:t>
                            </w:r>
                          </w:p>
                        </w:txbxContent>
                      </wps:txbx>
                      <wps:bodyPr wrap="none" lIns="0" tIns="0" rIns="0" bIns="0">
                        <a:noAutoFit/>
                      </wps:bodyPr>
                    </wps:wsp>
                  </a:graphicData>
                </a:graphic>
              </wp:anchor>
            </w:drawing>
          </mc:Choice>
          <mc:Fallback>
            <w:pict>
              <v:shape id="_x0000_s1053" type="#_x0000_t202" style="position:absolute;margin-left:485.55000000000001pt;margin-top:0;width:83.049999999999997pt;height:19.900000000000002pt;z-index:-125829363;mso-wrap-distance-left:0;mso-wrap-distance-right:0;mso-wrap-distance-bottom:28.100000000000001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Н.И. Ивченко</w:t>
                      </w:r>
                    </w:p>
                  </w:txbxContent>
                </v:textbox>
                <w10:wrap type="topAndBottom" anchorx="page"/>
              </v:shape>
            </w:pict>
          </mc:Fallback>
        </mc:AlternateContent>
      </w:r>
    </w:p>
    <w:p>
      <w:pPr>
        <w:pStyle w:val="Style24"/>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676767"/>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Ивченко Наталья Ивановна</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02741 Е5ЕСО0330О03Е49Е653О479СЕЭ2</w:t>
      </w:r>
    </w:p>
    <w:p>
      <w:pPr>
        <w:pStyle w:val="Style24"/>
        <w:keepNext w:val="0"/>
        <w:keepLines w:val="0"/>
        <w:widowControl w:val="0"/>
        <w:shd w:val="clear" w:color="auto" w:fill="auto"/>
        <w:bidi w:val="0"/>
        <w:spacing w:before="0" w:after="540" w:line="240" w:lineRule="auto"/>
        <w:ind w:right="0" w:firstLine="0"/>
        <w:jc w:val="left"/>
      </w:pPr>
      <w:r>
        <mc:AlternateContent>
          <mc:Choice Requires="wps">
            <w:drawing>
              <wp:anchor distT="0" distB="0" distL="114300" distR="114300" simplePos="0" relativeHeight="125829392" behindDoc="0" locked="0" layoutInCell="1" allowOverlap="1">
                <wp:simplePos x="0" y="0"/>
                <wp:positionH relativeFrom="page">
                  <wp:posOffset>6022975</wp:posOffset>
                </wp:positionH>
                <wp:positionV relativeFrom="paragraph">
                  <wp:posOffset>266700</wp:posOffset>
                </wp:positionV>
                <wp:extent cx="1197610" cy="252730"/>
                <wp:wrapSquare wrapText="left"/>
                <wp:docPr id="29" name="Shape 29"/>
                <a:graphic xmlns:a="http://schemas.openxmlformats.org/drawingml/2006/main">
                  <a:graphicData uri="http://schemas.microsoft.com/office/word/2010/wordprocessingShape">
                    <wps:wsp>
                      <wps:cNvSpPr txBox="1"/>
                      <wps:spPr>
                        <a:xfrm>
                          <a:ext cx="1197610" cy="2527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Р.Ш. Джафаров</w:t>
                            </w:r>
                          </w:p>
                        </w:txbxContent>
                      </wps:txbx>
                      <wps:bodyPr wrap="none" lIns="0" tIns="0" rIns="0" bIns="0">
                        <a:noAutoFit/>
                      </wps:bodyPr>
                    </wps:wsp>
                  </a:graphicData>
                </a:graphic>
              </wp:anchor>
            </w:drawing>
          </mc:Choice>
          <mc:Fallback>
            <w:pict>
              <v:shape id="_x0000_s1055" type="#_x0000_t202" style="position:absolute;margin-left:474.25pt;margin-top:21.pt;width:94.299999999999997pt;height:19.900000000000002pt;z-index:-125829361;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Р.Ш. Джафаров</w:t>
                      </w:r>
                    </w:p>
                  </w:txbxContent>
                </v:textbox>
                <w10:wrap type="square" side="left" anchorx="page"/>
              </v:shape>
            </w:pict>
          </mc:Fallback>
        </mc:AlternateContent>
      </w:r>
      <w:r>
        <w:rPr>
          <w:color w:val="676767"/>
          <w:spacing w:val="0"/>
          <w:w w:val="100"/>
          <w:position w:val="0"/>
          <w:shd w:val="clear" w:color="auto" w:fill="auto"/>
          <w:lang w:val="ru-RU" w:eastAsia="ru-RU" w:bidi="ru-RU"/>
        </w:rPr>
        <w:t xml:space="preserve">Действителен с 31.10.2023 </w:t>
      </w:r>
      <w:r>
        <w:rPr>
          <w:color w:val="8E8E8E"/>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23.01.2025</w:t>
      </w:r>
    </w:p>
    <w:p>
      <w:pPr>
        <w:pStyle w:val="Style21"/>
        <w:keepNext w:val="0"/>
        <w:keepLines w:val="0"/>
        <w:widowControl w:val="0"/>
        <w:shd w:val="clear" w:color="auto" w:fill="auto"/>
        <w:bidi w:val="0"/>
        <w:spacing w:before="0" w:after="90" w:line="240" w:lineRule="auto"/>
        <w:ind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21"/>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2"/>
          <w:szCs w:val="12"/>
        </w:rPr>
      </w:pPr>
      <w:r>
        <w:rPr>
          <w:color w:val="E9E9E9"/>
          <w:spacing w:val="0"/>
          <w:w w:val="100"/>
          <w:position w:val="0"/>
          <w:sz w:val="12"/>
          <w:szCs w:val="12"/>
          <w:shd w:val="clear" w:color="auto" w:fill="auto"/>
          <w:lang w:val="ru-RU" w:eastAsia="ru-RU" w:bidi="ru-RU"/>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676767"/>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Джафаров Ровшан Ширяр_оглы</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0090ВА169А947Е304214А4033СЗА8343А8</w:t>
      </w:r>
    </w:p>
    <w:p>
      <w:pPr>
        <w:pStyle w:val="Style24"/>
        <w:keepNext w:val="0"/>
        <w:keepLines w:val="0"/>
        <w:widowControl w:val="0"/>
        <w:shd w:val="clear" w:color="auto" w:fill="auto"/>
        <w:bidi w:val="0"/>
        <w:spacing w:before="0" w:after="820" w:line="240" w:lineRule="auto"/>
        <w:ind w:right="0" w:firstLine="0"/>
        <w:jc w:val="left"/>
      </w:pPr>
      <w:r>
        <w:rPr>
          <w:color w:val="676767"/>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13.09.2024 </w:t>
      </w:r>
      <w:r>
        <w:rPr>
          <w:color w:val="8E8E8E"/>
          <w:spacing w:val="0"/>
          <w:w w:val="100"/>
          <w:position w:val="0"/>
          <w:shd w:val="clear" w:color="auto" w:fill="auto"/>
          <w:lang w:val="ru-RU" w:eastAsia="ru-RU" w:bidi="ru-RU"/>
        </w:rPr>
        <w:t xml:space="preserve">по </w:t>
      </w:r>
      <w:r>
        <w:rPr>
          <w:color w:val="676767"/>
          <w:spacing w:val="0"/>
          <w:w w:val="100"/>
          <w:position w:val="0"/>
          <w:shd w:val="clear" w:color="auto" w:fill="auto"/>
          <w:lang w:val="ru-RU" w:eastAsia="ru-RU" w:bidi="ru-RU"/>
        </w:rPr>
        <w:t>07.12.2025</w:t>
      </w:r>
    </w:p>
    <w:p>
      <w:pPr>
        <w:pStyle w:val="Style7"/>
        <w:keepNext w:val="0"/>
        <w:keepLines w:val="0"/>
        <w:widowControl w:val="0"/>
        <w:shd w:val="clear" w:color="auto" w:fill="auto"/>
        <w:bidi w:val="0"/>
        <w:spacing w:before="0" w:after="8520" w:line="240" w:lineRule="auto"/>
        <w:ind w:left="0" w:right="0" w:firstLine="720"/>
        <w:jc w:val="left"/>
      </w:pPr>
      <w:r>
        <w:rPr>
          <w:color w:val="000000"/>
          <w:spacing w:val="0"/>
          <w:w w:val="100"/>
          <w:position w:val="0"/>
          <w:shd w:val="clear" w:color="auto" w:fill="auto"/>
          <w:lang w:val="ru-RU" w:eastAsia="ru-RU" w:bidi="ru-RU"/>
        </w:rPr>
        <w:t>Решение Комиссии может быть обжаловано в Арбитражный суд Волгоградской области в течение трех месяцев со дня его принятия.</w:t>
      </w:r>
    </w:p>
    <w:p>
      <w:pPr>
        <w:pStyle w:val="Style30"/>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Исп.Джафаров Р.Ш. тел.(8442)24-22-64</w:t>
      </w:r>
    </w:p>
    <w:sectPr>
      <w:headerReference w:type="default" r:id="rId14"/>
      <w:footerReference w:type="default" r:id="rId15"/>
      <w:footnotePr>
        <w:pos w:val="pageBottom"/>
        <w:numFmt w:val="decimal"/>
        <w:numRestart w:val="continuous"/>
      </w:footnotePr>
      <w:pgSz w:w="11900" w:h="16840"/>
      <w:pgMar w:top="1662" w:right="415" w:bottom="1350" w:left="109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9857740</wp:posOffset>
              </wp:positionV>
              <wp:extent cx="640080" cy="100330"/>
              <wp:wrapNone/>
              <wp:docPr id="11" name="Shape 11"/>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2024-8243</w:t>
                          </w:r>
                        </w:p>
                      </w:txbxContent>
                    </wps:txbx>
                    <wps:bodyPr wrap="none" lIns="0" tIns="0" rIns="0" bIns="0">
                      <a:spAutoFit/>
                    </wps:bodyPr>
                  </wps:wsp>
                </a:graphicData>
              </a:graphic>
            </wp:anchor>
          </w:drawing>
        </mc:Choice>
        <mc:Fallback>
          <w:pict>
            <v:shape id="_x0000_s1037" type="#_x0000_t202" style="position:absolute;margin-left:56.950000000000003pt;margin-top:776.20000000000005pt;width:50.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2024-8243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719455</wp:posOffset>
              </wp:positionH>
              <wp:positionV relativeFrom="page">
                <wp:posOffset>10016490</wp:posOffset>
              </wp:positionV>
              <wp:extent cx="640080" cy="100330"/>
              <wp:wrapNone/>
              <wp:docPr id="33" name="Shape 33"/>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2024-8243</w:t>
                          </w:r>
                        </w:p>
                      </w:txbxContent>
                    </wps:txbx>
                    <wps:bodyPr wrap="none" lIns="0" tIns="0" rIns="0" bIns="0">
                      <a:spAutoFit/>
                    </wps:bodyPr>
                  </wps:wsp>
                </a:graphicData>
              </a:graphic>
            </wp:anchor>
          </w:drawing>
        </mc:Choice>
        <mc:Fallback>
          <w:pict>
            <v:shape id="_x0000_s1059" type="#_x0000_t202" style="position:absolute;margin-left:56.649999999999999pt;margin-top:788.70000000000005pt;width:50.3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2024-8243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3923030</wp:posOffset>
              </wp:positionH>
              <wp:positionV relativeFrom="page">
                <wp:posOffset>759460</wp:posOffset>
              </wp:positionV>
              <wp:extent cx="64135" cy="103505"/>
              <wp:wrapNone/>
              <wp:docPr id="31" name="Shape 31"/>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7" type="#_x0000_t202" style="position:absolute;margin-left:308.90000000000003pt;margin-top:59.800000000000004pt;width:5.04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5"/>
      <w:numFmt w:val="decimal"/>
      <w:lvlText w:val="%1."/>
    </w:lvl>
    <w:lvl w:ilvl="1">
      <w:start w:val="4"/>
      <w:numFmt w:val="decimal"/>
      <w:lvlText w:val="%1.%2."/>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5"/>
      <w:numFmt w:val="decimal"/>
      <w:lvlText w:val="%1."/>
    </w:lvl>
    <w:lvl w:ilvl="1">
      <w:start w:val="7"/>
      <w:numFmt w:val="decimal"/>
      <w:lvlText w:val="%1.%2."/>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color w:val="486199"/>
      <w:sz w:val="16"/>
      <w:szCs w:val="16"/>
      <w:u w:val="none"/>
    </w:rPr>
  </w:style>
  <w:style w:type="character" w:customStyle="1" w:styleId="CharStyle6">
    <w:name w:val="Основной текст (5)_"/>
    <w:basedOn w:val="DefaultParagraphFont"/>
    <w:link w:val="Style5"/>
    <w:rPr>
      <w:rFonts w:ascii="Times New Roman" w:eastAsia="Times New Roman" w:hAnsi="Times New Roman" w:cs="Times New Roman"/>
      <w:b/>
      <w:bCs/>
      <w:i w:val="0"/>
      <w:iCs w:val="0"/>
      <w:smallCaps w:val="0"/>
      <w:strike w:val="0"/>
      <w:color w:val="486199"/>
      <w:sz w:val="19"/>
      <w:szCs w:val="19"/>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sz w:val="26"/>
      <w:szCs w:val="26"/>
      <w:u w:val="none"/>
    </w:rPr>
  </w:style>
  <w:style w:type="character" w:customStyle="1" w:styleId="CharStyle11">
    <w:name w:val="Подпись к картинке_"/>
    <w:basedOn w:val="DefaultParagraphFont"/>
    <w:link w:val="Style10"/>
    <w:rPr>
      <w:rFonts w:ascii="Georgia" w:eastAsia="Georgia" w:hAnsi="Georgia" w:cs="Georgia"/>
      <w:b w:val="0"/>
      <w:bCs w:val="0"/>
      <w:i w:val="0"/>
      <w:iCs w:val="0"/>
      <w:smallCaps w:val="0"/>
      <w:strike w:val="0"/>
      <w:color w:val="212121"/>
      <w:sz w:val="11"/>
      <w:szCs w:val="11"/>
      <w:u w:val="none"/>
    </w:rPr>
  </w:style>
  <w:style w:type="character" w:customStyle="1" w:styleId="CharStyle15">
    <w:name w:val="Колонтитул (2)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w w:val="50"/>
      <w:sz w:val="44"/>
      <w:szCs w:val="44"/>
      <w:u w:val="none"/>
    </w:rPr>
  </w:style>
  <w:style w:type="character" w:customStyle="1" w:styleId="CharStyle22">
    <w:name w:val="Основной текст (3)_"/>
    <w:basedOn w:val="DefaultParagraphFont"/>
    <w:link w:val="Style21"/>
    <w:rPr>
      <w:rFonts w:ascii="Georgia" w:eastAsia="Georgia" w:hAnsi="Georgia" w:cs="Georgia"/>
      <w:b w:val="0"/>
      <w:bCs w:val="0"/>
      <w:i w:val="0"/>
      <w:iCs w:val="0"/>
      <w:smallCaps w:val="0"/>
      <w:strike w:val="0"/>
      <w:color w:val="212121"/>
      <w:sz w:val="11"/>
      <w:szCs w:val="11"/>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color w:val="444444"/>
      <w:sz w:val="12"/>
      <w:szCs w:val="12"/>
      <w:u w:val="none"/>
    </w:rPr>
  </w:style>
  <w:style w:type="character" w:customStyle="1" w:styleId="CharStyle31">
    <w:name w:val="Основной текст (6)_"/>
    <w:basedOn w:val="DefaultParagraphFont"/>
    <w:link w:val="Style30"/>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4)"/>
    <w:basedOn w:val="Normal"/>
    <w:link w:val="CharStyle3"/>
    <w:pPr>
      <w:widowControl w:val="0"/>
      <w:shd w:val="clear" w:color="auto" w:fill="auto"/>
      <w:spacing w:after="120" w:line="278" w:lineRule="auto"/>
      <w:jc w:val="center"/>
    </w:pPr>
    <w:rPr>
      <w:rFonts w:ascii="Times New Roman" w:eastAsia="Times New Roman" w:hAnsi="Times New Roman" w:cs="Times New Roman"/>
      <w:b w:val="0"/>
      <w:bCs w:val="0"/>
      <w:i w:val="0"/>
      <w:iCs w:val="0"/>
      <w:smallCaps w:val="0"/>
      <w:strike w:val="0"/>
      <w:color w:val="486199"/>
      <w:sz w:val="16"/>
      <w:szCs w:val="16"/>
      <w:u w:val="none"/>
    </w:rPr>
  </w:style>
  <w:style w:type="paragraph" w:customStyle="1" w:styleId="Style5">
    <w:name w:val="Основной текст (5)"/>
    <w:basedOn w:val="Normal"/>
    <w:link w:val="CharStyle6"/>
    <w:pPr>
      <w:widowControl w:val="0"/>
      <w:shd w:val="clear" w:color="auto" w:fill="auto"/>
      <w:spacing w:after="180" w:line="254" w:lineRule="auto"/>
      <w:jc w:val="center"/>
    </w:pPr>
    <w:rPr>
      <w:rFonts w:ascii="Times New Roman" w:eastAsia="Times New Roman" w:hAnsi="Times New Roman" w:cs="Times New Roman"/>
      <w:b/>
      <w:bCs/>
      <w:i w:val="0"/>
      <w:iCs w:val="0"/>
      <w:smallCaps w:val="0"/>
      <w:strike w:val="0"/>
      <w:color w:val="486199"/>
      <w:sz w:val="19"/>
      <w:szCs w:val="19"/>
      <w:u w:val="none"/>
    </w:rPr>
  </w:style>
  <w:style w:type="paragraph" w:customStyle="1" w:styleId="Style7">
    <w:name w:val="Основной текст"/>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0">
    <w:name w:val="Подпись к картинке"/>
    <w:basedOn w:val="Normal"/>
    <w:link w:val="CharStyle11"/>
    <w:pPr>
      <w:widowControl w:val="0"/>
      <w:shd w:val="clear" w:color="auto" w:fill="auto"/>
    </w:pPr>
    <w:rPr>
      <w:rFonts w:ascii="Georgia" w:eastAsia="Georgia" w:hAnsi="Georgia" w:cs="Georgia"/>
      <w:b w:val="0"/>
      <w:bCs w:val="0"/>
      <w:i w:val="0"/>
      <w:iCs w:val="0"/>
      <w:smallCaps w:val="0"/>
      <w:strike w:val="0"/>
      <w:color w:val="212121"/>
      <w:sz w:val="11"/>
      <w:szCs w:val="11"/>
      <w:u w:val="none"/>
    </w:rPr>
  </w:style>
  <w:style w:type="paragraph" w:customStyle="1" w:styleId="Style14">
    <w:name w:val="Колонтитул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Заголовок №1"/>
    <w:basedOn w:val="Normal"/>
    <w:link w:val="CharStyle18"/>
    <w:pPr>
      <w:widowControl w:val="0"/>
      <w:shd w:val="clear" w:color="auto" w:fill="auto"/>
      <w:spacing w:after="300"/>
      <w:outlineLvl w:val="0"/>
    </w:pPr>
    <w:rPr>
      <w:rFonts w:ascii="Arial" w:eastAsia="Arial" w:hAnsi="Arial" w:cs="Arial"/>
      <w:b w:val="0"/>
      <w:bCs w:val="0"/>
      <w:i w:val="0"/>
      <w:iCs w:val="0"/>
      <w:smallCaps w:val="0"/>
      <w:strike w:val="0"/>
      <w:w w:val="50"/>
      <w:sz w:val="44"/>
      <w:szCs w:val="44"/>
      <w:u w:val="none"/>
    </w:rPr>
  </w:style>
  <w:style w:type="paragraph" w:customStyle="1" w:styleId="Style21">
    <w:name w:val="Основной текст (3)"/>
    <w:basedOn w:val="Normal"/>
    <w:link w:val="CharStyle22"/>
    <w:pPr>
      <w:widowControl w:val="0"/>
      <w:shd w:val="clear" w:color="auto" w:fill="auto"/>
      <w:spacing w:after="100"/>
      <w:ind w:left="3740"/>
    </w:pPr>
    <w:rPr>
      <w:rFonts w:ascii="Georgia" w:eastAsia="Georgia" w:hAnsi="Georgia" w:cs="Georgia"/>
      <w:b w:val="0"/>
      <w:bCs w:val="0"/>
      <w:i w:val="0"/>
      <w:iCs w:val="0"/>
      <w:smallCaps w:val="0"/>
      <w:strike w:val="0"/>
      <w:color w:val="212121"/>
      <w:sz w:val="11"/>
      <w:szCs w:val="11"/>
      <w:u w:val="none"/>
    </w:rPr>
  </w:style>
  <w:style w:type="paragraph" w:customStyle="1" w:styleId="Style24">
    <w:name w:val="Основной текст (2)"/>
    <w:basedOn w:val="Normal"/>
    <w:link w:val="CharStyle25"/>
    <w:pPr>
      <w:widowControl w:val="0"/>
      <w:shd w:val="clear" w:color="auto" w:fill="auto"/>
      <w:ind w:left="3100"/>
    </w:pPr>
    <w:rPr>
      <w:rFonts w:ascii="Arial" w:eastAsia="Arial" w:hAnsi="Arial" w:cs="Arial"/>
      <w:b w:val="0"/>
      <w:bCs w:val="0"/>
      <w:i w:val="0"/>
      <w:iCs w:val="0"/>
      <w:smallCaps w:val="0"/>
      <w:strike w:val="0"/>
      <w:color w:val="444444"/>
      <w:sz w:val="12"/>
      <w:szCs w:val="12"/>
      <w:u w:val="none"/>
    </w:rPr>
  </w:style>
  <w:style w:type="paragraph" w:customStyle="1" w:styleId="Style30">
    <w:name w:val="Основной текст (6)"/>
    <w:basedOn w:val="Normal"/>
    <w:link w:val="CharStyle31"/>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image" Target="media/image3.jpeg"/><Relationship Id="rId11" Type="http://schemas.openxmlformats.org/officeDocument/2006/relationships/image" Target="media/image3.jpeg" TargetMode="External"/><Relationship Id="rId12" Type="http://schemas.openxmlformats.org/officeDocument/2006/relationships/image" Target="media/image4.jpeg"/><Relationship Id="rId13" Type="http://schemas.openxmlformats.org/officeDocument/2006/relationships/image" Target="media/image4.jpeg" TargetMode="External"/><Relationship Id="rId14" Type="http://schemas.openxmlformats.org/officeDocument/2006/relationships/header" Target="header1.xml"/><Relationship Id="rId15" Type="http://schemas.openxmlformats.org/officeDocument/2006/relationships/footer" Target="footer2.xml"/></Relationships>
</file>