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1765935</wp:posOffset>
            </wp:positionH>
            <wp:positionV relativeFrom="paragraph">
              <wp:posOffset>12700</wp:posOffset>
            </wp:positionV>
            <wp:extent cx="548640" cy="64643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48640" cy="64643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1120140</wp:posOffset>
                </wp:positionH>
                <wp:positionV relativeFrom="paragraph">
                  <wp:posOffset>728345</wp:posOffset>
                </wp:positionV>
                <wp:extent cx="1840865" cy="286385"/>
                <wp:wrapSquare wrapText="bothSides"/>
                <wp:docPr id="3" name="Shape 3"/>
                <a:graphic xmlns:a="http://schemas.openxmlformats.org/drawingml/2006/main">
                  <a:graphicData uri="http://schemas.microsoft.com/office/word/2010/wordprocessingShape">
                    <wps:wsp>
                      <wps:cNvSpPr txBox="1"/>
                      <wps:spPr>
                        <a:xfrm>
                          <a:ext cx="1840865" cy="2863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88.200000000000003pt;margin-top:57.350000000000001pt;width:144.95000000000002pt;height:22.55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txbxContent>
                </v:textbox>
                <w10:wrap type="square" anchorx="page"/>
              </v:shape>
            </w:pict>
          </mc:Fallback>
        </mc:AlternateContent>
      </w:r>
      <w:r>
        <mc:AlternateContent>
          <mc:Choice Requires="wps">
            <w:drawing>
              <wp:anchor distT="0" distB="0" distL="0" distR="0" simplePos="0" relativeHeight="125829381" behindDoc="0" locked="0" layoutInCell="1" allowOverlap="1">
                <wp:simplePos x="0" y="0"/>
                <wp:positionH relativeFrom="page">
                  <wp:posOffset>922020</wp:posOffset>
                </wp:positionH>
                <wp:positionV relativeFrom="paragraph">
                  <wp:posOffset>1112520</wp:posOffset>
                </wp:positionV>
                <wp:extent cx="2249170" cy="441960"/>
                <wp:wrapSquare wrapText="bothSides"/>
                <wp:docPr id="5" name="Shape 5"/>
                <a:graphic xmlns:a="http://schemas.openxmlformats.org/drawingml/2006/main">
                  <a:graphicData uri="http://schemas.microsoft.com/office/word/2010/wordprocessingShape">
                    <wps:wsp>
                      <wps:cNvSpPr txBox="1"/>
                      <wps:spPr>
                        <a:xfrm>
                          <a:ext cx="2249170" cy="44196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 id="_x0000_s1031" type="#_x0000_t202" style="position:absolute;margin-left:72.600000000000009pt;margin-top:87.600000000000009pt;width:177.09999999999999pt;height:34.800000000000004pt;z-index:-125829372;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v:textbox>
                <w10:wrap type="square" anchorx="page"/>
              </v:shape>
            </w:pict>
          </mc:Fallback>
        </mc:AlternateContent>
      </w:r>
    </w:p>
    <w:p>
      <w:pPr>
        <w:pStyle w:val="Style7"/>
        <w:keepNext w:val="0"/>
        <w:keepLines w:val="0"/>
        <w:widowControl w:val="0"/>
        <w:shd w:val="clear" w:color="auto" w:fill="auto"/>
        <w:bidi w:val="0"/>
        <w:spacing w:before="0" w:after="0" w:line="240" w:lineRule="auto"/>
        <w:ind w:left="1440" w:right="0" w:firstLine="0"/>
        <w:jc w:val="left"/>
      </w:pPr>
      <w:r>
        <w:rPr>
          <w:color w:val="000000"/>
          <w:spacing w:val="0"/>
          <w:w w:val="100"/>
          <w:position w:val="0"/>
          <w:sz w:val="24"/>
          <w:szCs w:val="24"/>
          <w:shd w:val="clear" w:color="auto" w:fill="auto"/>
          <w:lang w:val="ru-RU" w:eastAsia="ru-RU" w:bidi="ru-RU"/>
        </w:rPr>
        <w:t>ГБУ РО "Центральная районная больница" в Миллеровском районе</w:t>
      </w:r>
    </w:p>
    <w:p>
      <w:pPr>
        <w:pStyle w:val="Style7"/>
        <w:keepNext w:val="0"/>
        <w:keepLines w:val="0"/>
        <w:widowControl w:val="0"/>
        <w:shd w:val="clear" w:color="auto" w:fill="auto"/>
        <w:bidi w:val="0"/>
        <w:spacing w:before="0" w:after="0" w:line="240" w:lineRule="auto"/>
        <w:ind w:left="1440" w:right="0" w:firstLine="0"/>
        <w:jc w:val="left"/>
      </w:pPr>
      <w:r>
        <w:rPr>
          <w:color w:val="000000"/>
          <w:spacing w:val="0"/>
          <w:w w:val="100"/>
          <w:position w:val="0"/>
          <w:sz w:val="24"/>
          <w:szCs w:val="24"/>
          <w:shd w:val="clear" w:color="auto" w:fill="auto"/>
          <w:lang w:val="ru-RU" w:eastAsia="ru-RU" w:bidi="ru-RU"/>
        </w:rPr>
        <w:t>ул. 3 Интернационала, 60, г. Миллерово, Миллеровский района, Ростовская область, 346132</w:t>
      </w:r>
    </w:p>
    <w:p>
      <w:pPr>
        <w:pStyle w:val="Style7"/>
        <w:keepNext w:val="0"/>
        <w:keepLines w:val="0"/>
        <w:widowControl w:val="0"/>
        <w:shd w:val="clear" w:color="auto" w:fill="auto"/>
        <w:bidi w:val="0"/>
        <w:spacing w:before="0" w:after="0" w:line="240" w:lineRule="auto"/>
        <w:ind w:left="1440" w:right="0" w:firstLine="0"/>
        <w:jc w:val="left"/>
        <w:sectPr>
          <w:footerReference w:type="default" r:id="rId7"/>
          <w:footerReference w:type="first" r:id="rId8"/>
          <w:footnotePr>
            <w:pos w:val="pageBottom"/>
            <w:numFmt w:val="decimal"/>
            <w:numRestart w:val="continuous"/>
          </w:footnotePr>
          <w:pgSz w:w="11900" w:h="16840"/>
          <w:pgMar w:top="265" w:right="536" w:bottom="1231" w:left="4994"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с^Ь_тШе^0V0@та^^ш</w:t>
      </w:r>
    </w:p>
    <w:p>
      <w:pPr>
        <w:pStyle w:val="Style2"/>
        <w:keepNext w:val="0"/>
        <w:keepLines w:val="0"/>
        <w:framePr w:w="485" w:h="226" w:wrap="none" w:vAnchor="text" w:hAnchor="page" w:x="1141" w:y="1503"/>
        <w:widowControl w:val="0"/>
        <w:shd w:val="clear" w:color="auto" w:fill="auto"/>
        <w:bidi w:val="0"/>
        <w:spacing w:before="0" w:after="0" w:line="240" w:lineRule="auto"/>
        <w:ind w:left="0" w:right="0" w:firstLine="0"/>
        <w:jc w:val="left"/>
        <w:rPr>
          <w:sz w:val="18"/>
          <w:szCs w:val="18"/>
        </w:rPr>
      </w:pPr>
      <w:r>
        <w:rPr>
          <w:spacing w:val="0"/>
          <w:w w:val="100"/>
          <w:position w:val="0"/>
          <w:sz w:val="18"/>
          <w:szCs w:val="18"/>
          <w:shd w:val="clear" w:color="auto" w:fill="auto"/>
          <w:lang w:val="ru-RU" w:eastAsia="ru-RU" w:bidi="ru-RU"/>
        </w:rPr>
        <w:t>На№</w:t>
      </w:r>
    </w:p>
    <w:p>
      <w:pPr>
        <w:pStyle w:val="Style2"/>
        <w:keepNext w:val="0"/>
        <w:keepLines w:val="0"/>
        <w:framePr w:w="2990" w:h="864" w:wrap="none" w:vAnchor="text" w:hAnchor="page" w:x="1717" w:y="21"/>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1о61@Газ.2ОУ.ги</w:t>
      </w:r>
    </w:p>
    <w:p>
      <w:pPr>
        <w:pStyle w:val="Style2"/>
        <w:keepNext w:val="0"/>
        <w:keepLines w:val="0"/>
        <w:framePr w:w="226" w:h="226" w:wrap="none" w:vAnchor="text" w:hAnchor="page" w:x="3133" w:y="1508"/>
        <w:widowControl w:val="0"/>
        <w:shd w:val="clear" w:color="auto" w:fill="auto"/>
        <w:bidi w:val="0"/>
        <w:spacing w:before="0" w:after="0" w:line="240" w:lineRule="auto"/>
        <w:ind w:left="0" w:right="0" w:firstLine="0"/>
        <w:jc w:val="left"/>
        <w:rPr>
          <w:sz w:val="18"/>
          <w:szCs w:val="18"/>
        </w:rPr>
      </w:pPr>
      <w:r>
        <w:rPr>
          <w:spacing w:val="0"/>
          <w:w w:val="100"/>
          <w:position w:val="0"/>
          <w:sz w:val="18"/>
          <w:szCs w:val="18"/>
          <w:shd w:val="clear" w:color="auto" w:fill="auto"/>
          <w:lang w:val="ru-RU" w:eastAsia="ru-RU" w:bidi="ru-RU"/>
        </w:rPr>
        <w:t>от</w:t>
      </w:r>
    </w:p>
    <w:p>
      <w:pPr>
        <w:pStyle w:val="Style7"/>
        <w:keepNext w:val="0"/>
        <w:keepLines w:val="0"/>
        <w:framePr w:w="4781" w:h="1723" w:wrap="none" w:vAnchor="text" w:hAnchor="page" w:x="6406" w:y="188"/>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ОБЩЕСТВО С ОГРАНИЧЕННОЙ ОТВЕТСТВЕННОСТЬЮ "ПАРАДИЗ-М" 386001, РЕСПУБЛИКА ИНГУШЕТИЯ, г.о. ГОРОД МАГАС, Г МАГАС, УЛ З.БОРОВА, Д. 7</w:t>
      </w:r>
    </w:p>
    <w:p>
      <w:pPr>
        <w:pStyle w:val="Style7"/>
        <w:keepNext w:val="0"/>
        <w:keepLines w:val="0"/>
        <w:framePr w:w="4781" w:h="1723" w:wrap="none" w:vAnchor="text" w:hAnchor="page" w:x="6406" w:y="188"/>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рагаШх-т@таП .ги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footnotePr>
            <w:pos w:val="pageBottom"/>
            <w:numFmt w:val="decimal"/>
            <w:numRestart w:val="continuous"/>
          </w:footnotePr>
          <w:type w:val="continuous"/>
          <w:pgSz w:w="11900" w:h="16840"/>
          <w:pgMar w:top="265" w:right="537" w:bottom="1216" w:left="1097" w:header="0" w:footer="3" w:gutter="0"/>
          <w:cols w:space="720"/>
          <w:noEndnote/>
          <w:rtlGutter w:val="0"/>
          <w:docGrid w:linePitch="360"/>
        </w:sectPr>
      </w:pPr>
    </w:p>
    <w:p>
      <w:pPr>
        <w:pStyle w:val="Style7"/>
        <w:keepNext w:val="0"/>
        <w:keepLines w:val="0"/>
        <w:widowControl w:val="0"/>
        <w:shd w:val="clear" w:color="auto" w:fill="auto"/>
        <w:bidi w:val="0"/>
        <w:spacing w:before="0" w:after="560" w:line="240" w:lineRule="auto"/>
        <w:ind w:left="5320" w:right="0" w:firstLine="0"/>
        <w:jc w:val="left"/>
      </w:pPr>
      <w:r>
        <w:rPr>
          <w:color w:val="000000"/>
          <w:spacing w:val="0"/>
          <w:w w:val="100"/>
          <w:position w:val="0"/>
          <w:sz w:val="24"/>
          <w:szCs w:val="24"/>
          <w:shd w:val="clear" w:color="auto" w:fill="auto"/>
          <w:lang w:val="ru-RU" w:eastAsia="ru-RU" w:bidi="ru-RU"/>
        </w:rPr>
        <w:t>ООО "РТС-тендер ко@118-(епдег.ш</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7"/>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w:t>
        <w:br/>
        <w:t>№061/06/42-3494/2024</w:t>
      </w:r>
    </w:p>
    <w:p>
      <w:pPr>
        <w:pStyle w:val="Style7"/>
        <w:keepNext w:val="0"/>
        <w:keepLines w:val="0"/>
        <w:widowControl w:val="0"/>
        <w:shd w:val="clear" w:color="auto" w:fill="auto"/>
        <w:bidi w:val="0"/>
        <w:spacing w:before="0" w:after="140" w:line="240" w:lineRule="auto"/>
        <w:ind w:left="0" w:right="0" w:firstLine="0"/>
        <w:jc w:val="right"/>
      </w:pPr>
      <w:r>
        <mc:AlternateContent>
          <mc:Choice Requires="wps">
            <w:drawing>
              <wp:anchor distT="0" distB="0" distL="114300" distR="114300" simplePos="0" relativeHeight="125829383" behindDoc="0" locked="0" layoutInCell="1" allowOverlap="1">
                <wp:simplePos x="0" y="0"/>
                <wp:positionH relativeFrom="page">
                  <wp:posOffset>705485</wp:posOffset>
                </wp:positionH>
                <wp:positionV relativeFrom="paragraph">
                  <wp:posOffset>12700</wp:posOffset>
                </wp:positionV>
                <wp:extent cx="737870" cy="225425"/>
                <wp:wrapSquare wrapText="right"/>
                <wp:docPr id="11" name="Shape 11"/>
                <a:graphic xmlns:a="http://schemas.openxmlformats.org/drawingml/2006/main">
                  <a:graphicData uri="http://schemas.microsoft.com/office/word/2010/wordprocessingShape">
                    <wps:wsp>
                      <wps:cNvSpPr txBox="1"/>
                      <wps:spPr>
                        <a:xfrm>
                          <a:ext cx="737870" cy="2254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27.09.2024</w:t>
                            </w:r>
                          </w:p>
                        </w:txbxContent>
                      </wps:txbx>
                      <wps:bodyPr wrap="none" lIns="0" tIns="0" rIns="0" bIns="0">
                        <a:noAutoFit/>
                      </wps:bodyPr>
                    </wps:wsp>
                  </a:graphicData>
                </a:graphic>
              </wp:anchor>
            </w:drawing>
          </mc:Choice>
          <mc:Fallback>
            <w:pict>
              <v:shape id="_x0000_s1037" type="#_x0000_t202" style="position:absolute;margin-left:55.550000000000004pt;margin-top:1.pt;width:58.100000000000001pt;height:17.75pt;z-index:-125829370;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27.09.2024</w:t>
                      </w:r>
                    </w:p>
                  </w:txbxContent>
                </v:textbox>
                <w10:wrap type="square" side="right" anchorx="page"/>
              </v:shape>
            </w:pict>
          </mc:Fallback>
        </mc:AlternateContent>
      </w:r>
      <w:r>
        <mc:AlternateContent>
          <mc:Choice Requires="wps">
            <w:drawing>
              <wp:anchor distT="76200" distB="0" distL="0" distR="0" simplePos="0" relativeHeight="125829385" behindDoc="0" locked="0" layoutInCell="1" allowOverlap="1">
                <wp:simplePos x="0" y="0"/>
                <wp:positionH relativeFrom="page">
                  <wp:posOffset>708660</wp:posOffset>
                </wp:positionH>
                <wp:positionV relativeFrom="paragraph">
                  <wp:posOffset>355600</wp:posOffset>
                </wp:positionV>
                <wp:extent cx="6498590" cy="956945"/>
                <wp:wrapTopAndBottom/>
                <wp:docPr id="13" name="Shape 13"/>
                <a:graphic xmlns:a="http://schemas.openxmlformats.org/drawingml/2006/main">
                  <a:graphicData uri="http://schemas.microsoft.com/office/word/2010/wordprocessingShape">
                    <wps:wsp>
                      <wps:cNvSpPr txBox="1"/>
                      <wps:spPr>
                        <a:xfrm>
                          <a:ext cx="6498590" cy="956945"/>
                        </a:xfrm>
                        <a:prstGeom prst="rect"/>
                        <a:noFill/>
                      </wps:spPr>
                      <wps:txbx>
                        <w:txbxContent>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 Члены Комиссии:</w:t>
                            </w:r>
                          </w:p>
                        </w:txbxContent>
                      </wps:txbx>
                      <wps:bodyPr lIns="0" tIns="0" rIns="0" bIns="0">
                        <a:noAutoFit/>
                      </wps:bodyPr>
                    </wps:wsp>
                  </a:graphicData>
                </a:graphic>
              </wp:anchor>
            </w:drawing>
          </mc:Choice>
          <mc:Fallback>
            <w:pict>
              <v:shape id="_x0000_s1039" type="#_x0000_t202" style="position:absolute;margin-left:55.800000000000004pt;margin-top:28.pt;width:511.69999999999999pt;height:75.350000000000009pt;z-index:-125829368;mso-wrap-distance-left:0;mso-wrap-distance-top:6.pt;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 Члены Комиссии:</w:t>
                      </w:r>
                    </w:p>
                  </w:txbxContent>
                </v:textbox>
                <w10:wrap type="topAndBottom" anchorx="page"/>
              </v:shape>
            </w:pict>
          </mc:Fallback>
        </mc:AlternateContent>
      </w:r>
      <w:r>
        <w:rPr>
          <w:color w:val="000000"/>
          <w:spacing w:val="0"/>
          <w:w w:val="100"/>
          <w:position w:val="0"/>
          <w:sz w:val="24"/>
          <w:szCs w:val="24"/>
          <w:shd w:val="clear" w:color="auto" w:fill="auto"/>
          <w:lang w:val="ru-RU" w:eastAsia="ru-RU" w:bidi="ru-RU"/>
        </w:rPr>
        <w:t>г. Ростов-на-Дону</w:t>
      </w:r>
    </w:p>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7"/>
        <w:keepNext w:val="0"/>
        <w:keepLines w:val="0"/>
        <w:widowControl w:val="0"/>
        <w:shd w:val="clear" w:color="auto" w:fill="auto"/>
        <w:bidi w:val="0"/>
        <w:spacing w:before="0" w:after="0" w:line="240" w:lineRule="auto"/>
        <w:ind w:left="700" w:right="0" w:firstLine="0"/>
        <w:jc w:val="right"/>
      </w:pPr>
      <w:r>
        <w:rPr>
          <w:color w:val="000000"/>
          <w:spacing w:val="0"/>
          <w:w w:val="100"/>
          <w:position w:val="0"/>
          <w:sz w:val="24"/>
          <w:szCs w:val="24"/>
          <w:shd w:val="clear" w:color="auto" w:fill="auto"/>
          <w:lang w:val="ru-RU" w:eastAsia="ru-RU" w:bidi="ru-RU"/>
        </w:rPr>
        <w:t>В.Д. Кириленко рассмотрев дело № 061/06/42-3494/2024 по жалобе ООО «Парадиз-М» (далее —</w:t>
      </w:r>
    </w:p>
    <w:p>
      <w:pPr>
        <w:pStyle w:val="Style7"/>
        <w:keepNext w:val="0"/>
        <w:keepLines w:val="0"/>
        <w:widowControl w:val="0"/>
        <w:shd w:val="clear" w:color="auto" w:fill="auto"/>
        <w:bidi w:val="0"/>
        <w:spacing w:before="0" w:after="200" w:line="240" w:lineRule="auto"/>
        <w:ind w:left="0" w:right="0" w:firstLine="0"/>
        <w:jc w:val="both"/>
      </w:pPr>
      <w:r>
        <w:rPr>
          <w:color w:val="000000"/>
          <w:spacing w:val="0"/>
          <w:w w:val="100"/>
          <w:position w:val="0"/>
          <w:sz w:val="24"/>
          <w:szCs w:val="24"/>
          <w:shd w:val="clear" w:color="auto" w:fill="auto"/>
          <w:lang w:val="ru-RU" w:eastAsia="ru-RU" w:bidi="ru-RU"/>
        </w:rPr>
        <w:t>Заявитель) о нарушении ГБУ РО «Центральная районная больница» в Миллеровском районе (далее - Заказчик) при проведении электронного аукциона №0358300081224000108 «Гистероскоп жесткий оптоволоконный (модернизация 2025)»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представителей сторон, уведомлен надлежащим образом,</w:t>
      </w:r>
    </w:p>
    <w:p>
      <w:pPr>
        <w:pStyle w:val="Style7"/>
        <w:keepNext w:val="0"/>
        <w:keepLines w:val="0"/>
        <w:widowControl w:val="0"/>
        <w:shd w:val="clear" w:color="auto" w:fill="auto"/>
        <w:bidi w:val="0"/>
        <w:spacing w:before="0" w:after="20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ГБУ РО «Центральная районная больница» в Миллеровском районе. Заказчик в возражениях на жалобу представил пояснения.</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7"/>
        <w:keepNext w:val="0"/>
        <w:keepLines w:val="0"/>
        <w:widowControl w:val="0"/>
        <w:shd w:val="clear" w:color="auto" w:fill="auto"/>
        <w:bidi w:val="0"/>
        <w:spacing w:before="0" w:after="14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24"/>
          <w:szCs w:val="24"/>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гакирк1 .доу. ги</w:t>
      </w:r>
      <w:r>
        <w:rPr>
          <w:color w:val="000000"/>
          <w:spacing w:val="0"/>
          <w:w w:val="100"/>
          <w:position w:val="0"/>
          <w:sz w:val="24"/>
          <w:szCs w:val="24"/>
          <w:shd w:val="clear" w:color="auto" w:fill="auto"/>
          <w:lang w:val="ru-RU" w:eastAsia="ru-RU" w:bidi="ru-RU"/>
        </w:rPr>
        <w:t xml:space="preserve"> 16.09.2024 размещено извещение о проведении закупки, согласно которому:</w:t>
      </w:r>
    </w:p>
    <w:p>
      <w:pPr>
        <w:pStyle w:val="Style19"/>
        <w:keepNext/>
        <w:keepLines/>
        <w:widowControl w:val="0"/>
        <w:shd w:val="clear" w:color="auto" w:fill="auto"/>
        <w:bidi w:val="0"/>
        <w:spacing w:before="0" w:line="240" w:lineRule="auto"/>
        <w:ind w:left="0" w:right="0" w:firstLine="0"/>
        <w:jc w:val="both"/>
      </w:pPr>
      <w:bookmarkStart w:id="0" w:name="bookmark0"/>
      <w:r>
        <w:rPr>
          <w:b w:val="0"/>
          <w:bCs w:val="0"/>
          <w:color w:val="000000"/>
          <w:spacing w:val="0"/>
          <w:w w:val="100"/>
          <w:position w:val="0"/>
          <w:shd w:val="clear" w:color="auto" w:fill="auto"/>
          <w:lang w:val="ru-RU" w:eastAsia="ru-RU" w:bidi="ru-RU"/>
        </w:rPr>
        <w:t>111111111111</w:t>
      </w:r>
      <w:r>
        <w:rPr>
          <w:color w:val="000000"/>
          <w:spacing w:val="0"/>
          <w:w w:val="100"/>
          <w:position w:val="0"/>
          <w:shd w:val="clear" w:color="auto" w:fill="auto"/>
          <w:lang w:val="ru-RU" w:eastAsia="ru-RU" w:bidi="ru-RU"/>
        </w:rPr>
        <w:t>111111111111</w:t>
      </w:r>
      <w:bookmarkEnd w:id="0"/>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- 24.09.2024 09:12 (МСК);</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445 383,33 рублей.</w:t>
      </w:r>
    </w:p>
    <w:p>
      <w:pPr>
        <w:pStyle w:val="Style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Закупка осуществлена в рамках реализации национального проекта «Здравоохранение».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описание объекта закупки произведено с нарушением требований Закона.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ч.1 ст. 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совокупного толкования п. 1, 2 ч. 1, ч. 2 ст. 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Положения ст. 33 Закона предусматривают требования к описанию объекта закупки, следовательно, соблюдая их и устанавливая требования к товару (работе, услуге), в наибольшей степени удовлетворяющей потребностям заказчика, последний формирует объект закупки в соответствии с положениями законодательства о контрактной системе в сфере закупок.</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Установлено, что предметом настоящей закупки является гистероскоп жесткий оптоволоконный с кодом КТРУ</w:t>
      </w:r>
      <w:r>
        <w:fldChar w:fldCharType="begin"/>
      </w:r>
      <w:r>
        <w:rPr/>
        <w:instrText> HYPERLINK "https://zakupki.gov.ru/epz/ktru/ktruCard/commonInfo.html?itemVersionId=78326"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32.50.13.190-00007726</w:t>
      </w:r>
      <w:r>
        <w:fldChar w:fldCharType="end"/>
      </w:r>
      <w:r>
        <w:rPr>
          <w:color w:val="000000"/>
          <w:spacing w:val="0"/>
          <w:w w:val="100"/>
          <w:position w:val="0"/>
          <w:sz w:val="24"/>
          <w:szCs w:val="24"/>
          <w:shd w:val="clear" w:color="auto" w:fill="auto"/>
          <w:lang w:val="ru-RU" w:eastAsia="ru-RU" w:bidi="ru-RU"/>
        </w:rPr>
        <w:t>.</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в поданной жалобе обжалует технические характеристики цитоскопа, который не является предметом оспариваемой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таких обстоятельствах, Заявителем в порядке ч. 4 ст. 106 Закона не представлено доказательств, однозначно свидетельствующих о том, что приведенное Заказчиком описание объекта закупки, в т.ч. оспариваемые характеристики, привели к необоснованному ограничению круга потенциальных участников закупки и не соответствуют ст. 33 Закона.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 рамках проведения в соответствии с ч. 15 ст. 99 Закона внеплановой проверки Комиссией Ростовского УФАС России установлено следующее.</w:t>
      </w:r>
    </w:p>
    <w:p>
      <w:pPr>
        <w:pStyle w:val="Style7"/>
        <w:keepNext w:val="0"/>
        <w:keepLines w:val="0"/>
        <w:widowControl w:val="0"/>
        <w:numPr>
          <w:ilvl w:val="0"/>
          <w:numId w:val="1"/>
        </w:numPr>
        <w:shd w:val="clear" w:color="auto" w:fill="auto"/>
        <w:tabs>
          <w:tab w:pos="1014" w:val="left"/>
        </w:tabs>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В соответствии с п.15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7"/>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Согласно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7"/>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Во исполнение приведенной нормы принято Постановление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 925 и признании утратившими силу некоторых актов Правительства Российской Федерации» (далее — Постановление №878).</w:t>
      </w:r>
    </w:p>
    <w:p>
      <w:pPr>
        <w:pStyle w:val="Style7"/>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 xml:space="preserve">Согласно извещению, предметом закупи является «гистероскоп жесткий оптоволоконный». При описании объекта закупки Заказчиком применен код позиции КТРУ </w:t>
      </w:r>
      <w:r>
        <w:fldChar w:fldCharType="begin"/>
      </w:r>
      <w:r>
        <w:rPr/>
        <w:instrText> HYPERLINK "https://zakupki.gov.ru/epz/ktru/ktruCard/commonInfo.html?itemVersionId=78326" </w:instrText>
      </w:r>
      <w:r>
        <w:fldChar w:fldCharType="separate"/>
      </w:r>
      <w:r>
        <w:rPr>
          <w:color w:val="000000"/>
          <w:spacing w:val="0"/>
          <w:w w:val="100"/>
          <w:position w:val="0"/>
          <w:sz w:val="24"/>
          <w:szCs w:val="24"/>
          <w:shd w:val="clear" w:color="auto" w:fill="auto"/>
          <w:lang w:val="ru-RU" w:eastAsia="ru-RU" w:bidi="ru-RU"/>
        </w:rPr>
        <w:t>32.50.13.190-00007726</w:t>
      </w:r>
      <w:r>
        <w:fldChar w:fldCharType="end"/>
      </w:r>
      <w:r>
        <w:rPr>
          <w:color w:val="000000"/>
          <w:spacing w:val="0"/>
          <w:w w:val="100"/>
          <w:position w:val="0"/>
          <w:sz w:val="24"/>
          <w:szCs w:val="24"/>
          <w:shd w:val="clear" w:color="auto" w:fill="auto"/>
          <w:lang w:val="ru-RU" w:eastAsia="ru-RU" w:bidi="ru-RU"/>
        </w:rPr>
        <w:t>, который содержит следующую справочную информацию:</w:t>
      </w:r>
    </w:p>
    <w:p>
      <w:pPr>
        <w:pStyle w:val="Style7"/>
        <w:keepNext w:val="0"/>
        <w:keepLines w:val="0"/>
        <w:widowControl w:val="0"/>
        <w:numPr>
          <w:ilvl w:val="0"/>
          <w:numId w:val="3"/>
        </w:numPr>
        <w:shd w:val="clear" w:color="auto" w:fill="auto"/>
        <w:tabs>
          <w:tab w:pos="939" w:val="left"/>
        </w:tabs>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общероссийский классификатор продукции по видам экономической деятельности (ОКПД2) - 32.50.13.190: Инструменты и приспособления, применяемые в медицинских целях, прочие, не включенные в другие группировки;</w:t>
      </w:r>
    </w:p>
    <w:p>
      <w:pPr>
        <w:pStyle w:val="Style7"/>
        <w:keepNext w:val="0"/>
        <w:keepLines w:val="0"/>
        <w:widowControl w:val="0"/>
        <w:numPr>
          <w:ilvl w:val="0"/>
          <w:numId w:val="3"/>
        </w:numPr>
        <w:shd w:val="clear" w:color="auto" w:fill="auto"/>
        <w:tabs>
          <w:tab w:pos="939" w:val="left"/>
        </w:tabs>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номенклатурная классификация медицинских изделий по видам - 144810: Гистероскоп жесткий оптоволоконный.</w:t>
      </w:r>
    </w:p>
    <w:p>
      <w:pPr>
        <w:pStyle w:val="Style7"/>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Установлено, что товар, подлежащий поставке по итогам рассматриваемого аукциона, не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№878.</w:t>
      </w:r>
    </w:p>
    <w:p>
      <w:pPr>
        <w:pStyle w:val="Style7"/>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установление Заказчиком ограничения на допуск радиоэлектронной продукции, происходящей из иностранных государств, определенного Постановлением №878, при проведении рассматриваемой закупки нарушает положения ч.3 ст.14 Закона.</w:t>
      </w:r>
    </w:p>
    <w:p>
      <w:pPr>
        <w:pStyle w:val="Style7"/>
        <w:keepNext w:val="0"/>
        <w:keepLines w:val="0"/>
        <w:widowControl w:val="0"/>
        <w:numPr>
          <w:ilvl w:val="0"/>
          <w:numId w:val="1"/>
        </w:numPr>
        <w:shd w:val="clear" w:color="auto" w:fill="auto"/>
        <w:tabs>
          <w:tab w:pos="1012" w:val="left"/>
        </w:tabs>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В силу п.8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срок исполнения контракта (отдельных этапов исполнения контракта, если проектом контракта предусмотрены такие этапы).</w:t>
      </w:r>
    </w:p>
    <w:p>
      <w:pPr>
        <w:pStyle w:val="Style7"/>
        <w:keepNext w:val="0"/>
        <w:keepLines w:val="0"/>
        <w:widowControl w:val="0"/>
        <w:shd w:val="clear" w:color="auto" w:fill="auto"/>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Согласно ч.1 ст.94 Закона,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7"/>
        <w:keepNext w:val="0"/>
        <w:keepLines w:val="0"/>
        <w:widowControl w:val="0"/>
        <w:numPr>
          <w:ilvl w:val="0"/>
          <w:numId w:val="5"/>
        </w:numPr>
        <w:shd w:val="clear" w:color="auto" w:fill="auto"/>
        <w:tabs>
          <w:tab w:pos="1014" w:val="left"/>
        </w:tabs>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7"/>
        <w:keepNext w:val="0"/>
        <w:keepLines w:val="0"/>
        <w:widowControl w:val="0"/>
        <w:numPr>
          <w:ilvl w:val="0"/>
          <w:numId w:val="5"/>
        </w:numPr>
        <w:shd w:val="clear" w:color="auto" w:fill="auto"/>
        <w:tabs>
          <w:tab w:pos="1012" w:val="left"/>
        </w:tabs>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7"/>
        <w:keepNext w:val="0"/>
        <w:keepLines w:val="0"/>
        <w:widowControl w:val="0"/>
        <w:numPr>
          <w:ilvl w:val="0"/>
          <w:numId w:val="5"/>
        </w:numPr>
        <w:shd w:val="clear" w:color="auto" w:fill="auto"/>
        <w:tabs>
          <w:tab w:pos="1012" w:val="left"/>
        </w:tabs>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7"/>
        <w:keepNext w:val="0"/>
        <w:keepLines w:val="0"/>
        <w:widowControl w:val="0"/>
        <w:shd w:val="clear" w:color="auto" w:fill="auto"/>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Пунктом 13 ст.34 Закона установлено, в контракт включаются обязательные условия:</w:t>
      </w:r>
    </w:p>
    <w:p>
      <w:pPr>
        <w:pStyle w:val="Style7"/>
        <w:keepNext w:val="0"/>
        <w:keepLines w:val="0"/>
        <w:widowControl w:val="0"/>
        <w:shd w:val="clear" w:color="auto" w:fill="auto"/>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1)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w:t>
      </w:r>
    </w:p>
    <w:p>
      <w:pPr>
        <w:pStyle w:val="Style7"/>
        <w:keepNext w:val="0"/>
        <w:keepLines w:val="0"/>
        <w:widowControl w:val="0"/>
        <w:shd w:val="clear" w:color="auto" w:fill="auto"/>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В письме Минфина России от 12.05.2022 ^ 24-06-07/43394 изложена следующая правовая позиция: «Таким образом, указываемый в извещении об осуществлении закупки срок исполнения контракта (отдельных этапов исполнения контракта) представляет собой срок, включающий в том числе приемку поставленного товара, выполненной работы (ее результатов),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(ее результатов), оказанной услуги (отдельных этапов исполнения контракта).».</w:t>
      </w:r>
    </w:p>
    <w:p>
      <w:pPr>
        <w:pStyle w:val="Style7"/>
        <w:keepNext w:val="0"/>
        <w:keepLines w:val="0"/>
        <w:widowControl w:val="0"/>
        <w:shd w:val="clear" w:color="auto" w:fill="auto"/>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 xml:space="preserve">Извещение об осуществлении закупки, опубликованное в единой информационной системе, содержит следующую информацию: </w:t>
      </w:r>
      <w:r>
        <w:rPr>
          <w:i/>
          <w:iCs/>
          <w:color w:val="060606"/>
          <w:spacing w:val="0"/>
          <w:w w:val="100"/>
          <w:position w:val="0"/>
          <w:sz w:val="24"/>
          <w:szCs w:val="24"/>
          <w:shd w:val="clear" w:color="auto" w:fill="auto"/>
          <w:lang w:val="ru-RU" w:eastAsia="ru-RU" w:bidi="ru-RU"/>
        </w:rPr>
        <w:t>«Дата окончания исполнения контракта — 31.03.2025».</w:t>
      </w:r>
    </w:p>
    <w:p>
      <w:pPr>
        <w:pStyle w:val="Style7"/>
        <w:keepNext w:val="0"/>
        <w:keepLines w:val="0"/>
        <w:widowControl w:val="0"/>
        <w:shd w:val="clear" w:color="auto" w:fill="auto"/>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Вместе с тем, пунктом 5.1 проекта контракта установлено следующее: «</w:t>
      </w:r>
      <w:r>
        <w:rPr>
          <w:i/>
          <w:iCs/>
          <w:color w:val="000000"/>
          <w:spacing w:val="0"/>
          <w:w w:val="100"/>
          <w:position w:val="0"/>
          <w:sz w:val="24"/>
          <w:szCs w:val="24"/>
          <w:shd w:val="clear" w:color="auto" w:fill="auto"/>
          <w:lang w:val="ru-RU" w:eastAsia="ru-RU" w:bidi="ru-RU"/>
        </w:rPr>
        <w:t>Поставка Оборудования осуществляется Поставщиком в Место доставки на условиях, предусмотренных пунктом 1.3 Контракта, в срок: с 01.01.2025 года до 31.03.2025 года</w:t>
      </w:r>
      <w:r>
        <w:rPr>
          <w:i/>
          <w:iCs/>
          <w:color w:val="060606"/>
          <w:spacing w:val="0"/>
          <w:w w:val="100"/>
          <w:position w:val="0"/>
          <w:sz w:val="24"/>
          <w:szCs w:val="24"/>
          <w:shd w:val="clear" w:color="auto" w:fill="auto"/>
          <w:lang w:val="ru-RU" w:eastAsia="ru-RU" w:bidi="ru-RU"/>
        </w:rPr>
        <w:t>.</w:t>
      </w:r>
      <w:r>
        <w:rPr>
          <w:color w:val="060606"/>
          <w:spacing w:val="0"/>
          <w:w w:val="100"/>
          <w:position w:val="0"/>
          <w:sz w:val="24"/>
          <w:szCs w:val="24"/>
          <w:shd w:val="clear" w:color="auto" w:fill="auto"/>
          <w:lang w:val="ru-RU" w:eastAsia="ru-RU" w:bidi="ru-RU"/>
        </w:rPr>
        <w:t>».</w:t>
      </w:r>
    </w:p>
    <w:p>
      <w:pPr>
        <w:pStyle w:val="Style7"/>
        <w:keepNext w:val="0"/>
        <w:keepLines w:val="0"/>
        <w:widowControl w:val="0"/>
        <w:shd w:val="clear" w:color="auto" w:fill="auto"/>
        <w:bidi w:val="0"/>
        <w:spacing w:before="0" w:after="260" w:line="240" w:lineRule="auto"/>
        <w:ind w:left="0" w:right="0" w:firstLine="700"/>
        <w:jc w:val="both"/>
      </w:pPr>
      <w:r>
        <w:rPr>
          <w:color w:val="060606"/>
          <w:spacing w:val="0"/>
          <w:w w:val="100"/>
          <w:position w:val="0"/>
          <w:sz w:val="24"/>
          <w:szCs w:val="24"/>
          <w:shd w:val="clear" w:color="auto" w:fill="auto"/>
          <w:lang w:val="ru-RU" w:eastAsia="ru-RU" w:bidi="ru-RU"/>
        </w:rPr>
        <w:t>Таким образом, Заказчик при формировании извещения не включил в срок исполнения контракта комплекс мер, предусмотренный ч.1 ст.94 Закона, чем нарушил ч.1 ст. 42 Закона.</w:t>
      </w:r>
    </w:p>
    <w:p>
      <w:pPr>
        <w:pStyle w:val="Style7"/>
        <w:keepNext w:val="0"/>
        <w:keepLines w:val="0"/>
        <w:widowControl w:val="0"/>
        <w:numPr>
          <w:ilvl w:val="0"/>
          <w:numId w:val="7"/>
        </w:numPr>
        <w:shd w:val="clear" w:color="auto" w:fill="auto"/>
        <w:tabs>
          <w:tab w:pos="312" w:val="left"/>
        </w:tabs>
        <w:bidi w:val="0"/>
        <w:spacing w:before="0" w:after="0" w:line="240" w:lineRule="auto"/>
        <w:ind w:left="0" w:right="0" w:firstLine="700"/>
        <w:jc w:val="both"/>
      </w:pPr>
      <w:r>
        <w:rPr>
          <w:color w:val="060606"/>
          <w:spacing w:val="0"/>
          <w:w w:val="100"/>
          <w:position w:val="0"/>
          <w:sz w:val="24"/>
          <w:szCs w:val="24"/>
          <w:shd w:val="clear" w:color="auto" w:fill="auto"/>
          <w:lang w:val="ru-RU" w:eastAsia="ru-RU" w:bidi="ru-RU"/>
        </w:rPr>
        <w:t xml:space="preserve">В силу п.5 ч.2 ст.42 Закона извещение об осуществлении закупки, если иное не </w:t>
      </w:r>
      <w:r>
        <w:rPr>
          <w:color w:val="060606"/>
          <w:spacing w:val="0"/>
          <w:w w:val="100"/>
          <w:position w:val="0"/>
          <w:sz w:val="24"/>
          <w:szCs w:val="24"/>
          <w:shd w:val="clear" w:color="auto" w:fill="auto"/>
          <w:lang w:val="ru-RU" w:eastAsia="ru-RU" w:bidi="ru-RU"/>
        </w:rPr>
        <w:t>предусмотрено настоящим Федеральным законом, должно содержать электронный документ - проект контракта.</w:t>
      </w:r>
    </w:p>
    <w:p>
      <w:pPr>
        <w:pStyle w:val="Style7"/>
        <w:keepNext w:val="0"/>
        <w:keepLines w:val="0"/>
        <w:widowControl w:val="0"/>
        <w:shd w:val="clear" w:color="auto" w:fill="auto"/>
        <w:bidi w:val="0"/>
        <w:spacing w:before="0" w:after="0" w:line="240" w:lineRule="auto"/>
        <w:ind w:left="0" w:right="0" w:firstLine="760"/>
        <w:jc w:val="both"/>
      </w:pPr>
      <w:r>
        <w:rPr>
          <w:color w:val="060606"/>
          <w:spacing w:val="0"/>
          <w:w w:val="100"/>
          <w:position w:val="0"/>
          <w:sz w:val="24"/>
          <w:szCs w:val="24"/>
          <w:shd w:val="clear" w:color="auto" w:fill="auto"/>
          <w:lang w:val="ru-RU" w:eastAsia="ru-RU" w:bidi="ru-RU"/>
        </w:rPr>
        <w:t xml:space="preserve">В силу ч.16 ст.94 Закона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w:t>
      </w:r>
      <w:r>
        <w:rPr>
          <w:color w:val="060606"/>
          <w:spacing w:val="0"/>
          <w:w w:val="100"/>
          <w:position w:val="0"/>
          <w:sz w:val="24"/>
          <w:szCs w:val="24"/>
          <w:u w:val="single"/>
          <w:shd w:val="clear" w:color="auto" w:fill="auto"/>
          <w:lang w:val="ru-RU" w:eastAsia="ru-RU" w:bidi="ru-RU"/>
        </w:rPr>
        <w:t>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7"/>
        <w:keepNext w:val="0"/>
        <w:keepLines w:val="0"/>
        <w:widowControl w:val="0"/>
        <w:shd w:val="clear" w:color="auto" w:fill="auto"/>
        <w:bidi w:val="0"/>
        <w:spacing w:before="0" w:after="0" w:line="240" w:lineRule="auto"/>
        <w:ind w:left="0" w:right="0" w:firstLine="760"/>
        <w:jc w:val="both"/>
      </w:pPr>
      <w:r>
        <w:rPr>
          <w:color w:val="060606"/>
          <w:spacing w:val="0"/>
          <w:w w:val="100"/>
          <w:position w:val="0"/>
          <w:sz w:val="24"/>
          <w:szCs w:val="24"/>
          <w:shd w:val="clear" w:color="auto" w:fill="auto"/>
          <w:lang w:val="ru-RU" w:eastAsia="ru-RU" w:bidi="ru-RU"/>
        </w:rPr>
        <w:t>Заказчиком в проекте контракта установлено:</w:t>
      </w:r>
    </w:p>
    <w:p>
      <w:pPr>
        <w:pStyle w:val="Style7"/>
        <w:keepNext w:val="0"/>
        <w:keepLines w:val="0"/>
        <w:widowControl w:val="0"/>
        <w:shd w:val="clear" w:color="auto" w:fill="auto"/>
        <w:bidi w:val="0"/>
        <w:spacing w:before="0" w:after="0" w:line="240" w:lineRule="auto"/>
        <w:ind w:left="0" w:right="0" w:firstLine="760"/>
        <w:jc w:val="both"/>
      </w:pPr>
      <w:r>
        <w:rPr>
          <w:i/>
          <w:iCs/>
          <w:color w:val="060606"/>
          <w:spacing w:val="0"/>
          <w:w w:val="100"/>
          <w:position w:val="0"/>
          <w:sz w:val="24"/>
          <w:szCs w:val="24"/>
          <w:shd w:val="clear" w:color="auto" w:fill="auto"/>
          <w:lang w:val="ru-RU" w:eastAsia="ru-RU" w:bidi="ru-RU"/>
        </w:rPr>
        <w:t>«1</w:t>
      </w:r>
      <w:r>
        <w:rPr>
          <w:i/>
          <w:iCs/>
          <w:color w:val="000000"/>
          <w:spacing w:val="0"/>
          <w:w w:val="100"/>
          <w:position w:val="0"/>
          <w:sz w:val="24"/>
          <w:szCs w:val="24"/>
          <w:shd w:val="clear" w:color="auto" w:fill="auto"/>
          <w:lang w:val="ru-RU" w:eastAsia="ru-RU" w:bidi="ru-RU"/>
        </w:rPr>
        <w:t>4.1.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 посредством электронной почты (адрес электронной почты: тих-др1@таИ.ги), факсимильной и другой связи.</w:t>
      </w:r>
    </w:p>
    <w:p>
      <w:pPr>
        <w:pStyle w:val="Style7"/>
        <w:keepNext w:val="0"/>
        <w:keepLines w:val="0"/>
        <w:widowControl w:val="0"/>
        <w:numPr>
          <w:ilvl w:val="1"/>
          <w:numId w:val="7"/>
        </w:numPr>
        <w:shd w:val="clear" w:color="auto" w:fill="auto"/>
        <w:tabs>
          <w:tab w:pos="1302" w:val="left"/>
        </w:tabs>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 Все споры и разногласия в связи с исполнением Контракта, разрешаются путем переговоров. Если указанные разногласия не могут быть решены путем переговоров, они разрешаются в претензионном порядке. Срок ответа на претензию - 30 календарных дней.</w:t>
      </w:r>
      <w:r>
        <w:rPr>
          <w:i/>
          <w:iCs/>
          <w:color w:val="060606"/>
          <w:spacing w:val="0"/>
          <w:w w:val="100"/>
          <w:position w:val="0"/>
          <w:sz w:val="24"/>
          <w:szCs w:val="24"/>
          <w:shd w:val="clear" w:color="auto" w:fill="auto"/>
          <w:lang w:val="ru-RU" w:eastAsia="ru-RU" w:bidi="ru-RU"/>
        </w:rPr>
        <w:t>.».</w:t>
      </w:r>
    </w:p>
    <w:p>
      <w:pPr>
        <w:pStyle w:val="Style7"/>
        <w:keepNext w:val="0"/>
        <w:keepLines w:val="0"/>
        <w:widowControl w:val="0"/>
        <w:shd w:val="clear" w:color="auto" w:fill="auto"/>
        <w:bidi w:val="0"/>
        <w:spacing w:before="0" w:after="260" w:line="240" w:lineRule="auto"/>
        <w:ind w:left="0" w:right="0" w:firstLine="760"/>
        <w:jc w:val="both"/>
      </w:pPr>
      <w:r>
        <w:rPr>
          <w:color w:val="060606"/>
          <w:spacing w:val="0"/>
          <w:w w:val="100"/>
          <w:position w:val="0"/>
          <w:sz w:val="24"/>
          <w:szCs w:val="24"/>
          <w:shd w:val="clear" w:color="auto" w:fill="auto"/>
          <w:lang w:val="ru-RU" w:eastAsia="ru-RU" w:bidi="ru-RU"/>
        </w:rPr>
        <w:t>На основании изложенного, Заказчиком установлен порядок обмена документами между сторонами контракта в нарушение ч.2 ст.42 Закона.</w:t>
      </w:r>
    </w:p>
    <w:p>
      <w:pPr>
        <w:pStyle w:val="Style7"/>
        <w:keepNext w:val="0"/>
        <w:keepLines w:val="0"/>
        <w:widowControl w:val="0"/>
        <w:numPr>
          <w:ilvl w:val="0"/>
          <w:numId w:val="7"/>
        </w:numPr>
        <w:shd w:val="clear" w:color="auto" w:fill="auto"/>
        <w:tabs>
          <w:tab w:pos="1014"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На основании п. 3 ч. 2 ст. 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w:t>
      </w:r>
      <w:r>
        <w:rPr>
          <w:color w:val="000000"/>
          <w:spacing w:val="0"/>
          <w:w w:val="100"/>
          <w:position w:val="0"/>
          <w:sz w:val="24"/>
          <w:szCs w:val="24"/>
          <w:u w:val="single"/>
          <w:shd w:val="clear" w:color="auto" w:fill="auto"/>
          <w:lang w:val="ru-RU" w:eastAsia="ru-RU" w:bidi="ru-RU"/>
        </w:rPr>
        <w:t>составу заявки</w:t>
      </w:r>
      <w:r>
        <w:rPr>
          <w:color w:val="000000"/>
          <w:spacing w:val="0"/>
          <w:w w:val="100"/>
          <w:position w:val="0"/>
          <w:sz w:val="24"/>
          <w:szCs w:val="24"/>
          <w:shd w:val="clear" w:color="auto" w:fill="auto"/>
          <w:lang w:val="ru-RU" w:eastAsia="ru-RU" w:bidi="ru-RU"/>
        </w:rPr>
        <w:t xml:space="preserve">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ч. 1 ст.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keepNext w:val="0"/>
        <w:keepLines w:val="0"/>
        <w:widowControl w:val="0"/>
        <w:numPr>
          <w:ilvl w:val="0"/>
          <w:numId w:val="9"/>
        </w:numPr>
        <w:shd w:val="clear" w:color="auto" w:fill="auto"/>
        <w:tabs>
          <w:tab w:pos="115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информация о предоставлении преимущества в соответствии со </w:t>
      </w:r>
      <w:r>
        <w:rPr>
          <w:color w:val="0000FF"/>
          <w:spacing w:val="0"/>
          <w:w w:val="100"/>
          <w:position w:val="0"/>
          <w:sz w:val="24"/>
          <w:szCs w:val="24"/>
          <w:shd w:val="clear" w:color="auto" w:fill="auto"/>
          <w:lang w:val="ru-RU" w:eastAsia="ru-RU" w:bidi="ru-RU"/>
        </w:rPr>
        <w:t xml:space="preserve">статьями 28 </w:t>
      </w:r>
      <w:r>
        <w:rPr>
          <w:color w:val="000000"/>
          <w:spacing w:val="0"/>
          <w:w w:val="100"/>
          <w:position w:val="0"/>
          <w:sz w:val="24"/>
          <w:szCs w:val="24"/>
          <w:shd w:val="clear" w:color="auto" w:fill="auto"/>
          <w:lang w:val="ru-RU" w:eastAsia="ru-RU" w:bidi="ru-RU"/>
        </w:rPr>
        <w:t xml:space="preserve">и </w:t>
      </w:r>
      <w:r>
        <w:rPr>
          <w:color w:val="0000FF"/>
          <w:spacing w:val="0"/>
          <w:w w:val="100"/>
          <w:position w:val="0"/>
          <w:sz w:val="24"/>
          <w:szCs w:val="24"/>
          <w:shd w:val="clear" w:color="auto" w:fill="auto"/>
          <w:lang w:val="ru-RU" w:eastAsia="ru-RU" w:bidi="ru-RU"/>
        </w:rPr>
        <w:t xml:space="preserve">29 </w:t>
      </w:r>
      <w:r>
        <w:rPr>
          <w:color w:val="000000"/>
          <w:spacing w:val="0"/>
          <w:w w:val="100"/>
          <w:position w:val="0"/>
          <w:sz w:val="24"/>
          <w:szCs w:val="24"/>
          <w:shd w:val="clear" w:color="auto" w:fill="auto"/>
          <w:lang w:val="ru-RU" w:eastAsia="ru-RU" w:bidi="ru-RU"/>
        </w:rPr>
        <w:t>настоящего Федерального закона.</w:t>
      </w:r>
    </w:p>
    <w:p>
      <w:pPr>
        <w:pStyle w:val="Style7"/>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Однако, Заказчиком в приложении к извещению «Требования к содержанию, составу заявки на участие в закупке и инструкция по ее заполнению» установлено:</w:t>
      </w:r>
    </w:p>
    <w:p>
      <w:pPr>
        <w:pStyle w:val="Style7"/>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«к) декларация о принадлежности участника закупки к организации инвалидов, предусмотренной частью 2 статьи 29 Федерального закона № 44-ФЗ (если участник закупки является такой организацией) - установлено</w:t>
      </w:r>
      <w:r>
        <w:rPr>
          <w:color w:val="000000"/>
          <w:spacing w:val="0"/>
          <w:w w:val="100"/>
          <w:position w:val="0"/>
          <w:sz w:val="24"/>
          <w:szCs w:val="24"/>
          <w:shd w:val="clear" w:color="auto" w:fill="auto"/>
          <w:lang w:val="ru-RU" w:eastAsia="ru-RU" w:bidi="ru-RU"/>
        </w:rPr>
        <w:t>».</w:t>
      </w:r>
    </w:p>
    <w:p>
      <w:pPr>
        <w:pStyle w:val="Style7"/>
        <w:keepNext w:val="0"/>
        <w:keepLines w:val="0"/>
        <w:widowControl w:val="0"/>
        <w:shd w:val="clear" w:color="auto" w:fill="auto"/>
        <w:bidi w:val="0"/>
        <w:spacing w:before="0" w:after="260" w:line="240" w:lineRule="auto"/>
        <w:ind w:left="0" w:right="0" w:firstLine="760"/>
        <w:jc w:val="both"/>
      </w:pPr>
      <w:r>
        <w:rPr>
          <w:color w:val="000000"/>
          <w:spacing w:val="0"/>
          <w:w w:val="100"/>
          <w:position w:val="0"/>
          <w:sz w:val="24"/>
          <w:szCs w:val="24"/>
          <w:shd w:val="clear" w:color="auto" w:fill="auto"/>
          <w:lang w:val="ru-RU" w:eastAsia="ru-RU" w:bidi="ru-RU"/>
        </w:rPr>
        <w:t xml:space="preserve">Таким образом, требовать в составе заявки декларацию о принадлежности участника закупки к организации инвалидов при отсутствии в извещении информации о предоставлении </w:t>
      </w:r>
      <w:r>
        <w:rPr>
          <w:color w:val="000000"/>
          <w:spacing w:val="0"/>
          <w:w w:val="100"/>
          <w:position w:val="0"/>
          <w:sz w:val="24"/>
          <w:szCs w:val="24"/>
          <w:shd w:val="clear" w:color="auto" w:fill="auto"/>
          <w:lang w:val="ru-RU" w:eastAsia="ru-RU" w:bidi="ru-RU"/>
        </w:rPr>
        <w:t>преимущества участникам закупки в соответствии со статьей 29 Закона является нарушением ч.2 ст.42 закона.</w:t>
      </w:r>
    </w:p>
    <w:p>
      <w:pPr>
        <w:pStyle w:val="Style7"/>
        <w:keepNext w:val="0"/>
        <w:keepLines w:val="0"/>
        <w:widowControl w:val="0"/>
        <w:numPr>
          <w:ilvl w:val="0"/>
          <w:numId w:val="7"/>
        </w:numPr>
        <w:shd w:val="clear" w:color="auto" w:fill="auto"/>
        <w:tabs>
          <w:tab w:pos="105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в приложении к извещению «Требования к содержанию, составу заявки на участие в закупке и инструкция по ее заполнению» установлено:</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Предложение участника закупки в отношении объекта закупки:</w:t>
      </w:r>
    </w:p>
    <w:p>
      <w:pPr>
        <w:pStyle w:val="Style7"/>
        <w:keepNext w:val="0"/>
        <w:keepLines w:val="0"/>
        <w:widowControl w:val="0"/>
        <w:numPr>
          <w:ilvl w:val="0"/>
          <w:numId w:val="11"/>
        </w:numPr>
        <w:shd w:val="clear" w:color="auto" w:fill="auto"/>
        <w:tabs>
          <w:tab w:pos="1065" w:val="left"/>
        </w:tabs>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 не установлено;</w:t>
      </w:r>
    </w:p>
    <w:p>
      <w:pPr>
        <w:pStyle w:val="Style7"/>
        <w:keepNext w:val="0"/>
        <w:keepLines w:val="0"/>
        <w:widowControl w:val="0"/>
        <w:numPr>
          <w:ilvl w:val="0"/>
          <w:numId w:val="11"/>
        </w:numPr>
        <w:shd w:val="clear" w:color="auto" w:fill="auto"/>
        <w:tabs>
          <w:tab w:pos="1065" w:val="left"/>
        </w:tabs>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 не установлено.</w:t>
      </w:r>
      <w:r>
        <w:rPr>
          <w:color w:val="000000"/>
          <w:spacing w:val="0"/>
          <w:w w:val="100"/>
          <w:position w:val="0"/>
          <w:sz w:val="24"/>
          <w:szCs w:val="24"/>
          <w:shd w:val="clear" w:color="auto" w:fill="auto"/>
          <w:lang w:val="ru-RU" w:eastAsia="ru-RU" w:bidi="ru-RU"/>
        </w:rPr>
        <w:t>».</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п.3.1 инструкции по заполнению заявки «</w:t>
      </w:r>
      <w:r>
        <w:rPr>
          <w:i/>
          <w:iCs/>
          <w:color w:val="000000"/>
          <w:spacing w:val="0"/>
          <w:w w:val="100"/>
          <w:position w:val="0"/>
          <w:sz w:val="24"/>
          <w:szCs w:val="24"/>
          <w:shd w:val="clear" w:color="auto" w:fill="auto"/>
          <w:lang w:val="ru-RU" w:eastAsia="ru-RU" w:bidi="ru-RU"/>
        </w:rPr>
        <w:t>Если в заявке на участие в закупке необходимо указать показатели товара, то заявка на участие в закупке должна содержать показатели товара, соответствующие значениям, установленным в Описании объекта закупки (При.юзжеиие к извещению об осуществлении закупки)</w:t>
      </w:r>
      <w:r>
        <w:rPr>
          <w:b/>
          <w:bCs/>
          <w:color w:val="000000"/>
          <w:spacing w:val="0"/>
          <w:w w:val="100"/>
          <w:position w:val="0"/>
          <w:sz w:val="24"/>
          <w:szCs w:val="24"/>
          <w:shd w:val="clear" w:color="auto" w:fill="auto"/>
          <w:lang w:val="ru-RU" w:eastAsia="ru-RU" w:bidi="ru-RU"/>
        </w:rPr>
        <w:t>».</w:t>
      </w:r>
    </w:p>
    <w:p>
      <w:pPr>
        <w:pStyle w:val="Style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Таким образом, допустив противоречие, Заказчик нарушил ч.2 ст.42 Закона.</w:t>
      </w:r>
    </w:p>
    <w:p>
      <w:pPr>
        <w:pStyle w:val="Style7"/>
        <w:keepNext w:val="0"/>
        <w:keepLines w:val="0"/>
        <w:widowControl w:val="0"/>
        <w:numPr>
          <w:ilvl w:val="0"/>
          <w:numId w:val="7"/>
        </w:numPr>
        <w:shd w:val="clear" w:color="auto" w:fill="auto"/>
        <w:tabs>
          <w:tab w:pos="108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п.5 ч.1 ст.43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1.6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установлено,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Заказчиком установлено ограничение допуска товаров, происходящих из иностранного государства, на основании Приказа №126н.</w:t>
      </w:r>
    </w:p>
    <w:p>
      <w:pPr>
        <w:pStyle w:val="Style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Заказчиком установлено ограничение и условие допуска товара, происходящего из иностранных государств, на основании Приказа №126н, однако, в нарушение ч. 2 ст. 42 Закона, Заказчиком не установлена информация, подтверждающая соответствие предлагаемого товара указанному правовому акту.</w:t>
      </w:r>
    </w:p>
    <w:p>
      <w:pPr>
        <w:pStyle w:val="Style7"/>
        <w:keepNext w:val="0"/>
        <w:keepLines w:val="0"/>
        <w:widowControl w:val="0"/>
        <w:numPr>
          <w:ilvl w:val="0"/>
          <w:numId w:val="7"/>
        </w:numPr>
        <w:shd w:val="clear" w:color="auto" w:fill="auto"/>
        <w:tabs>
          <w:tab w:pos="1037" w:val="left"/>
        </w:tabs>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Заказчиком при описании объекта закупки Заказчиком установлены, в том числе, следующие характеристики:</w:t>
      </w:r>
    </w:p>
    <w:tbl>
      <w:tblPr>
        <w:tblOverlap w:val="never"/>
        <w:jc w:val="center"/>
        <w:tblLayout w:type="fixed"/>
      </w:tblPr>
      <w:tblGrid>
        <w:gridCol w:w="682"/>
        <w:gridCol w:w="5549"/>
        <w:gridCol w:w="3907"/>
      </w:tblGrid>
      <w:tr>
        <w:trPr>
          <w:trHeight w:val="590"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160"/>
              <w:jc w:val="left"/>
            </w:pPr>
            <w:r>
              <w:rPr>
                <w:b/>
                <w:bCs/>
                <w:color w:val="000000"/>
                <w:spacing w:val="0"/>
                <w:w w:val="100"/>
                <w:position w:val="0"/>
                <w:sz w:val="24"/>
                <w:szCs w:val="24"/>
                <w:shd w:val="clear" w:color="auto" w:fill="auto"/>
                <w:lang w:val="ru-RU" w:eastAsia="ru-RU" w:bidi="ru-RU"/>
              </w:rPr>
              <w:t>№</w:t>
            </w:r>
          </w:p>
          <w:p>
            <w:pPr>
              <w:pStyle w:val="Style29"/>
              <w:keepNext w:val="0"/>
              <w:keepLines w:val="0"/>
              <w:widowControl w:val="0"/>
              <w:shd w:val="clear" w:color="auto" w:fill="auto"/>
              <w:bidi w:val="0"/>
              <w:spacing w:before="0" w:after="0" w:line="240" w:lineRule="auto"/>
              <w:ind w:left="0" w:right="0" w:firstLine="160"/>
              <w:jc w:val="left"/>
            </w:pPr>
            <w:r>
              <w:rPr>
                <w:b/>
                <w:bCs/>
                <w:color w:val="000000"/>
                <w:spacing w:val="0"/>
                <w:w w:val="100"/>
                <w:position w:val="0"/>
                <w:sz w:val="24"/>
                <w:szCs w:val="24"/>
                <w:shd w:val="clear" w:color="auto" w:fill="auto"/>
                <w:lang w:val="ru-RU" w:eastAsia="ru-RU" w:bidi="ru-RU"/>
              </w:rPr>
              <w:t>п/п</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Параметры</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Требования</w:t>
            </w:r>
          </w:p>
        </w:tc>
      </w:tr>
      <w:tr>
        <w:trPr>
          <w:trHeight w:val="293" w:hRule="exact"/>
        </w:trPr>
        <w:tc>
          <w:tcPr>
            <w:gridSpan w:val="3"/>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1. Технические характеристики</w:t>
            </w:r>
          </w:p>
        </w:tc>
      </w:tr>
      <w:tr>
        <w:trPr>
          <w:trHeight w:val="30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Общие требования</w:t>
            </w:r>
          </w:p>
        </w:tc>
        <w:tc>
          <w:tcPr>
            <w:tcBorders>
              <w:top w:val="single" w:sz="4"/>
              <w:left w:val="single" w:sz="4"/>
              <w:right w:val="single" w:sz="4"/>
            </w:tcBorders>
            <w:shd w:val="clear" w:color="auto" w:fill="auto"/>
            <w:vAlign w:val="top"/>
          </w:tcPr>
          <w:p>
            <w:pPr>
              <w:widowControl w:val="0"/>
              <w:rPr>
                <w:sz w:val="10"/>
                <w:szCs w:val="10"/>
              </w:rPr>
            </w:pPr>
          </w:p>
        </w:tc>
      </w:tr>
      <w:tr>
        <w:trPr>
          <w:trHeight w:val="586" w:hRule="exact"/>
        </w:trPr>
        <w:tc>
          <w:tcPr>
            <w:tcBorders>
              <w:top w:val="single" w:sz="4"/>
              <w:left w:val="single" w:sz="4"/>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160"/>
              <w:jc w:val="left"/>
            </w:pPr>
            <w:r>
              <w:rPr>
                <w:color w:val="000000"/>
                <w:spacing w:val="0"/>
                <w:w w:val="100"/>
                <w:position w:val="0"/>
                <w:sz w:val="24"/>
                <w:szCs w:val="24"/>
                <w:shd w:val="clear" w:color="auto" w:fill="auto"/>
                <w:lang w:val="ru-RU" w:eastAsia="ru-RU" w:bidi="ru-RU"/>
              </w:rPr>
              <w:t>1.1</w:t>
            </w:r>
          </w:p>
        </w:tc>
        <w:tc>
          <w:tcPr>
            <w:tcBorders>
              <w:top w:val="single" w:sz="4"/>
              <w:left w:val="single" w:sz="4"/>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Срок гарантийного обслуживания</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Не менее 12 месяцев со дня ввода в эксплуатацию</w:t>
            </w:r>
          </w:p>
        </w:tc>
      </w:tr>
      <w:tr>
        <w:trPr>
          <w:trHeight w:val="590" w:hRule="exact"/>
        </w:trPr>
        <w:tc>
          <w:tcPr>
            <w:tcBorders>
              <w:top w:val="single" w:sz="4"/>
              <w:left w:val="single" w:sz="4"/>
              <w:bottom w:val="single" w:sz="4"/>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160"/>
              <w:jc w:val="left"/>
            </w:pPr>
            <w:r>
              <w:rPr>
                <w:color w:val="000000"/>
                <w:spacing w:val="0"/>
                <w:w w:val="100"/>
                <w:position w:val="0"/>
                <w:sz w:val="24"/>
                <w:szCs w:val="24"/>
                <w:shd w:val="clear" w:color="auto" w:fill="auto"/>
                <w:lang w:val="ru-RU" w:eastAsia="ru-RU" w:bidi="ru-RU"/>
              </w:rPr>
              <w:t>1.2</w:t>
            </w:r>
          </w:p>
        </w:tc>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Год выпуска</w:t>
            </w:r>
          </w:p>
        </w:tc>
        <w:tc>
          <w:tcPr>
            <w:tcBorders>
              <w:top w:val="single" w:sz="4"/>
              <w:left w:val="single" w:sz="4"/>
              <w:bottom w:val="single" w:sz="4"/>
              <w:right w:val="single" w:sz="4"/>
            </w:tcBorders>
            <w:shd w:val="clear" w:color="auto" w:fill="auto"/>
            <w:vAlign w:val="center"/>
          </w:tcPr>
          <w:p>
            <w:pPr>
              <w:pStyle w:val="Style29"/>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Не ранее 2024 года</w:t>
            </w:r>
          </w:p>
        </w:tc>
      </w:tr>
    </w:tbl>
    <w:p>
      <w:pPr>
        <w:spacing w:lineRule="exact" w:line="1"/>
        <w:rPr>
          <w:sz w:val="2"/>
          <w:szCs w:val="2"/>
        </w:rPr>
      </w:pPr>
      <w:r>
        <w:br w:type="page"/>
      </w:r>
    </w:p>
    <w:p>
      <w:pPr>
        <w:pStyle w:val="Style7"/>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Год выпуска, гарантийный срок не являются функциональными, техническими и качественными характеристиками товара, а являются условиями, на которые соглашается при подаче аукционной заявки.</w:t>
      </w:r>
    </w:p>
    <w:p>
      <w:pPr>
        <w:pStyle w:val="Style7"/>
        <w:keepNext w:val="0"/>
        <w:keepLines w:val="0"/>
        <w:widowControl w:val="0"/>
        <w:shd w:val="clear" w:color="auto" w:fill="auto"/>
        <w:bidi w:val="0"/>
        <w:spacing w:before="0" w:after="240" w:line="252"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при описании объекта закупки Заказчик нарушил ч.2 ст.42 Закона.</w:t>
      </w:r>
    </w:p>
    <w:p>
      <w:pPr>
        <w:pStyle w:val="Style7"/>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7"/>
        <w:keepNext w:val="0"/>
        <w:keepLines w:val="0"/>
        <w:widowControl w:val="0"/>
        <w:shd w:val="clear" w:color="auto" w:fill="auto"/>
        <w:bidi w:val="0"/>
        <w:spacing w:before="0" w:after="240" w:line="252"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7"/>
        <w:keepNext w:val="0"/>
        <w:keepLines w:val="0"/>
        <w:widowControl w:val="0"/>
        <w:numPr>
          <w:ilvl w:val="0"/>
          <w:numId w:val="13"/>
        </w:numPr>
        <w:shd w:val="clear" w:color="auto" w:fill="auto"/>
        <w:tabs>
          <w:tab w:pos="914" w:val="left"/>
        </w:tabs>
        <w:bidi w:val="0"/>
        <w:spacing w:before="0" w:after="0" w:line="252" w:lineRule="auto"/>
        <w:ind w:left="0" w:right="0" w:firstLine="580"/>
        <w:jc w:val="both"/>
      </w:pPr>
      <w:r>
        <w:rPr>
          <w:color w:val="000000"/>
          <w:spacing w:val="0"/>
          <w:w w:val="100"/>
          <w:position w:val="0"/>
          <w:sz w:val="24"/>
          <w:szCs w:val="24"/>
          <w:shd w:val="clear" w:color="auto" w:fill="auto"/>
          <w:lang w:val="ru-RU" w:eastAsia="ru-RU" w:bidi="ru-RU"/>
        </w:rPr>
        <w:t>Признать жалобу ООО «ПАРАДИЗ-М» обоснованной.</w:t>
      </w:r>
    </w:p>
    <w:p>
      <w:pPr>
        <w:pStyle w:val="Style7"/>
        <w:keepNext w:val="0"/>
        <w:keepLines w:val="0"/>
        <w:widowControl w:val="0"/>
        <w:numPr>
          <w:ilvl w:val="0"/>
          <w:numId w:val="13"/>
        </w:numPr>
        <w:shd w:val="clear" w:color="auto" w:fill="auto"/>
        <w:tabs>
          <w:tab w:pos="938" w:val="left"/>
        </w:tabs>
        <w:bidi w:val="0"/>
        <w:spacing w:before="0" w:after="0" w:line="252" w:lineRule="auto"/>
        <w:ind w:left="0" w:right="0" w:firstLine="580"/>
        <w:jc w:val="both"/>
      </w:pPr>
      <w:r>
        <w:rPr>
          <w:color w:val="000000"/>
          <w:spacing w:val="0"/>
          <w:w w:val="100"/>
          <w:position w:val="0"/>
          <w:sz w:val="24"/>
          <w:szCs w:val="24"/>
          <w:shd w:val="clear" w:color="auto" w:fill="auto"/>
          <w:lang w:val="ru-RU" w:eastAsia="ru-RU" w:bidi="ru-RU"/>
        </w:rPr>
        <w:t>Признать Заказчика нарушившим ч.3 ст.14, ч.ч.1, 2 ст.42 Закона.</w:t>
      </w:r>
    </w:p>
    <w:p>
      <w:pPr>
        <w:pStyle w:val="Style7"/>
        <w:keepNext w:val="0"/>
        <w:keepLines w:val="0"/>
        <w:widowControl w:val="0"/>
        <w:numPr>
          <w:ilvl w:val="0"/>
          <w:numId w:val="13"/>
        </w:numPr>
        <w:shd w:val="clear" w:color="auto" w:fill="auto"/>
        <w:tabs>
          <w:tab w:pos="920" w:val="left"/>
        </w:tabs>
        <w:bidi w:val="0"/>
        <w:spacing w:before="0" w:after="0" w:line="252" w:lineRule="auto"/>
        <w:ind w:left="0" w:right="0" w:firstLine="58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7"/>
        <w:keepNext w:val="0"/>
        <w:keepLines w:val="0"/>
        <w:widowControl w:val="0"/>
        <w:numPr>
          <w:ilvl w:val="0"/>
          <w:numId w:val="13"/>
        </w:numPr>
        <w:shd w:val="clear" w:color="auto" w:fill="auto"/>
        <w:tabs>
          <w:tab w:pos="925" w:val="left"/>
        </w:tabs>
        <w:bidi w:val="0"/>
        <w:spacing w:before="0" w:after="240" w:line="252" w:lineRule="auto"/>
        <w:ind w:left="0" w:right="0" w:firstLine="58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7"/>
        <w:keepNext w:val="0"/>
        <w:keepLines w:val="0"/>
        <w:widowControl w:val="0"/>
        <w:shd w:val="clear" w:color="auto" w:fill="auto"/>
        <w:bidi w:val="0"/>
        <w:spacing w:before="0" w:after="580" w:line="240" w:lineRule="auto"/>
        <w:ind w:left="0" w:right="0" w:firstLine="580"/>
        <w:jc w:val="both"/>
        <w:rPr>
          <w:sz w:val="22"/>
          <w:szCs w:val="22"/>
        </w:rPr>
      </w:pPr>
      <w:r>
        <w:rPr>
          <w:color w:val="000000"/>
          <w:spacing w:val="0"/>
          <w:w w:val="100"/>
          <w:position w:val="0"/>
          <w:sz w:val="22"/>
          <w:szCs w:val="22"/>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94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7"/>
        <w:keepNext w:val="0"/>
        <w:keepLines w:val="0"/>
        <w:widowControl w:val="0"/>
        <w:shd w:val="clear" w:color="auto" w:fill="auto"/>
        <w:bidi w:val="0"/>
        <w:spacing w:before="0" w:after="1220" w:line="240" w:lineRule="auto"/>
        <w:ind w:left="0" w:right="0" w:firstLine="0"/>
        <w:jc w:val="both"/>
      </w:pPr>
      <w:r>
        <mc:AlternateContent>
          <mc:Choice Requires="wps">
            <w:drawing>
              <wp:anchor distT="0" distB="0" distL="114300" distR="114300" simplePos="0" relativeHeight="125829387" behindDoc="0" locked="0" layoutInCell="1" allowOverlap="1">
                <wp:simplePos x="0" y="0"/>
                <wp:positionH relativeFrom="page">
                  <wp:posOffset>6315075</wp:posOffset>
                </wp:positionH>
                <wp:positionV relativeFrom="paragraph">
                  <wp:posOffset>12700</wp:posOffset>
                </wp:positionV>
                <wp:extent cx="868680" cy="228600"/>
                <wp:wrapSquare wrapText="left"/>
                <wp:docPr id="15" name="Shape 15"/>
                <a:graphic xmlns:a="http://schemas.openxmlformats.org/drawingml/2006/main">
                  <a:graphicData uri="http://schemas.microsoft.com/office/word/2010/wordprocessingShape">
                    <wps:wsp>
                      <wps:cNvSpPr txBox="1"/>
                      <wps:spPr>
                        <a:xfrm>
                          <a:ext cx="868680" cy="22860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txbxContent>
                      </wps:txbx>
                      <wps:bodyPr wrap="none" lIns="0" tIns="0" rIns="0" bIns="0">
                        <a:noAutoFit/>
                      </wps:bodyPr>
                    </wps:wsp>
                  </a:graphicData>
                </a:graphic>
              </wp:anchor>
            </w:drawing>
          </mc:Choice>
          <mc:Fallback>
            <w:pict>
              <v:shape id="_x0000_s1041" type="#_x0000_t202" style="position:absolute;margin-left:497.25pt;margin-top:1.pt;width:68.400000000000006pt;height:18.pt;z-index:-125829366;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Члены комиссии:</w:t>
      </w:r>
    </w:p>
    <w:p>
      <w:pPr>
        <w:pStyle w:val="Style7"/>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9" behindDoc="0" locked="0" layoutInCell="1" allowOverlap="1">
            <wp:simplePos x="0" y="0"/>
            <wp:positionH relativeFrom="page">
              <wp:posOffset>2657475</wp:posOffset>
            </wp:positionH>
            <wp:positionV relativeFrom="paragraph">
              <wp:posOffset>50800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3114675</wp:posOffset>
                </wp:positionH>
                <wp:positionV relativeFrom="paragraph">
                  <wp:posOffset>450215</wp:posOffset>
                </wp:positionV>
                <wp:extent cx="1286510" cy="103505"/>
                <wp:wrapNone/>
                <wp:docPr id="19" name="Shape 1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25pt;margin-top:35.450000000000003pt;width:101.3pt;height:8.15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3072130</wp:posOffset>
                </wp:positionH>
                <wp:positionV relativeFrom="paragraph">
                  <wp:posOffset>139065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90000000000001pt;margin-top:10.950000000000001pt;width:135.59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33"/>
        <w:keepNext w:val="0"/>
        <w:keepLines w:val="0"/>
        <w:widowControl w:val="0"/>
        <w:shd w:val="clear" w:color="auto" w:fill="auto"/>
        <w:bidi w:val="0"/>
        <w:spacing w:before="0" w:after="0" w:line="240" w:lineRule="auto"/>
        <w:ind w:right="0" w:firstLine="0"/>
        <w:jc w:val="both"/>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Кириленко Вероника Дмитриевна</w:t>
      </w:r>
    </w:p>
    <w:p>
      <w:pPr>
        <w:pStyle w:val="Style33"/>
        <w:keepNext w:val="0"/>
        <w:keepLines w:val="0"/>
        <w:widowControl w:val="0"/>
        <w:shd w:val="clear" w:color="auto" w:fill="auto"/>
        <w:bidi w:val="0"/>
        <w:spacing w:before="0" w:after="0" w:line="240" w:lineRule="auto"/>
        <w:ind w:right="0" w:firstLine="0"/>
        <w:jc w:val="both"/>
      </w:pPr>
      <w:r>
        <w:rPr>
          <w:color w:val="46464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64646"/>
          <w:spacing w:val="0"/>
          <w:w w:val="100"/>
          <w:position w:val="0"/>
          <w:shd w:val="clear" w:color="auto" w:fill="auto"/>
          <w:lang w:val="ru-RU" w:eastAsia="ru-RU" w:bidi="ru-RU"/>
        </w:rPr>
        <w:t>00ЕЗАСА06595С8Е8О1</w:t>
      </w:r>
      <w:r>
        <w:rPr>
          <w:spacing w:val="0"/>
          <w:w w:val="100"/>
          <w:position w:val="0"/>
          <w:shd w:val="clear" w:color="auto" w:fill="auto"/>
          <w:lang w:val="ru-RU" w:eastAsia="ru-RU" w:bidi="ru-RU"/>
        </w:rPr>
        <w:t>519С558Е46735964</w:t>
      </w:r>
    </w:p>
    <w:p>
      <w:pPr>
        <w:pStyle w:val="Style33"/>
        <w:keepNext w:val="0"/>
        <w:keepLines w:val="0"/>
        <w:widowControl w:val="0"/>
        <w:shd w:val="clear" w:color="auto" w:fill="auto"/>
        <w:bidi w:val="0"/>
        <w:spacing w:before="0" w:after="2840" w:line="240" w:lineRule="auto"/>
        <w:ind w:right="0" w:firstLine="0"/>
        <w:jc w:val="both"/>
      </w:pPr>
      <w:r>
        <w:rPr>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11.12.2023 </w:t>
      </w:r>
      <w:r>
        <w:rPr>
          <w:color w:val="8C8C8C"/>
          <w:spacing w:val="0"/>
          <w:w w:val="100"/>
          <w:position w:val="0"/>
          <w:shd w:val="clear" w:color="auto" w:fill="auto"/>
          <w:lang w:val="ru-RU" w:eastAsia="ru-RU" w:bidi="ru-RU"/>
        </w:rPr>
        <w:t xml:space="preserve">по </w:t>
      </w:r>
      <w:r>
        <w:rPr>
          <w:color w:val="464646"/>
          <w:spacing w:val="0"/>
          <w:w w:val="100"/>
          <w:position w:val="0"/>
          <w:shd w:val="clear" w:color="auto" w:fill="auto"/>
          <w:lang w:val="ru-RU" w:eastAsia="ru-RU" w:bidi="ru-RU"/>
        </w:rPr>
        <w:t>05.03.2025</w:t>
      </w:r>
    </w:p>
    <w:p>
      <w:pPr>
        <w:pStyle w:val="Style7"/>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Исп.Кириленко В.Д.</w:t>
      </w:r>
    </w:p>
    <w:p>
      <w:pPr>
        <w:pStyle w:val="Style7"/>
        <w:keepNext w:val="0"/>
        <w:keepLines w:val="0"/>
        <w:widowControl w:val="0"/>
        <w:shd w:val="clear" w:color="auto" w:fill="auto"/>
        <w:bidi w:val="0"/>
        <w:spacing w:before="0" w:after="42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тел.(863) 240-86-88, вн.061-131</w:t>
      </w:r>
    </w:p>
    <w:sectPr>
      <w:footnotePr>
        <w:pos w:val="pageBottom"/>
        <w:numFmt w:val="decimal"/>
        <w:numRestart w:val="continuous"/>
      </w:footnotePr>
      <w:type w:val="continuous"/>
      <w:pgSz w:w="11900" w:h="16840"/>
      <w:pgMar w:top="1014" w:right="525" w:bottom="1160" w:left="108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10024110</wp:posOffset>
              </wp:positionV>
              <wp:extent cx="6470650" cy="103505"/>
              <wp:wrapNone/>
              <wp:docPr id="7" name="Shape 7"/>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9"/>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2024-19608</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3" type="#_x0000_t202" style="position:absolute;margin-left:57.pt;margin-top:789.30000000000007pt;width:509.5pt;height:8.1500000000000004pt;z-index:-188744063;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2024-19608</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2024-19608</w:t>
                          </w:r>
                        </w:p>
                      </w:txbxContent>
                    </wps:txbx>
                    <wps:bodyPr wrap="none" lIns="0" tIns="0" rIns="0" bIns="0">
                      <a:spAutoFit/>
                    </wps:bodyPr>
                  </wps:wsp>
                </a:graphicData>
              </a:graphic>
            </wp:anchor>
          </w:drawing>
        </mc:Choice>
        <mc:Fallback>
          <w:pict>
            <v:shape id="_x0000_s1035" type="#_x0000_t202" style="position:absolute;margin-left:57.pt;margin-top:776.2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60606"/>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60606"/>
        <w:spacing w:val="0"/>
        <w:w w:val="100"/>
        <w:position w:val="0"/>
        <w:sz w:val="24"/>
        <w:szCs w:val="24"/>
        <w:u w:val="none"/>
        <w:shd w:val="clear" w:color="auto" w:fill="auto"/>
        <w:lang w:val="ru-RU" w:eastAsia="ru-RU" w:bidi="ru-RU"/>
      </w:rPr>
    </w:lvl>
  </w:abstractNum>
  <w:abstractNum w:abstractNumId="6">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3"/>
      <w:numFmt w:val="decimal"/>
      <w:lvlText w:val="%1.%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8619A"/>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8619A"/>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20">
    <w:name w:val="Заголовок №1_"/>
    <w:basedOn w:val="DefaultParagraphFont"/>
    <w:link w:val="Style19"/>
    <w:rPr>
      <w:rFonts w:ascii="Arial" w:eastAsia="Arial" w:hAnsi="Arial" w:cs="Arial"/>
      <w:b/>
      <w:bCs/>
      <w:i w:val="0"/>
      <w:iCs w:val="0"/>
      <w:smallCaps w:val="0"/>
      <w:strike w:val="0"/>
      <w:sz w:val="36"/>
      <w:szCs w:val="36"/>
      <w:u w:val="none"/>
    </w:rPr>
  </w:style>
  <w:style w:type="character" w:customStyle="1" w:styleId="CharStyle30">
    <w:name w:val="Другое_"/>
    <w:basedOn w:val="DefaultParagraphFont"/>
    <w:link w:val="Style29"/>
    <w:rPr>
      <w:rFonts w:ascii="Times New Roman" w:eastAsia="Times New Roman" w:hAnsi="Times New Roman" w:cs="Times New Roman"/>
      <w:b w:val="0"/>
      <w:bCs w:val="0"/>
      <w:i w:val="0"/>
      <w:iCs w:val="0"/>
      <w:smallCaps w:val="0"/>
      <w:strike w:val="0"/>
      <w:u w:val="none"/>
    </w:rPr>
  </w:style>
  <w:style w:type="character" w:customStyle="1" w:styleId="CharStyle34">
    <w:name w:val="Основной текст (3)_"/>
    <w:basedOn w:val="DefaultParagraphFont"/>
    <w:link w:val="Style33"/>
    <w:rPr>
      <w:rFonts w:ascii="Arial" w:eastAsia="Arial" w:hAnsi="Arial" w:cs="Arial"/>
      <w:b w:val="0"/>
      <w:bCs w:val="0"/>
      <w:i w:val="0"/>
      <w:iCs w:val="0"/>
      <w:smallCaps w:val="0"/>
      <w:strike w:val="0"/>
      <w:color w:val="5E5E5E"/>
      <w:sz w:val="12"/>
      <w:szCs w:val="12"/>
      <w:u w:val="none"/>
    </w:rPr>
  </w:style>
  <w:style w:type="paragraph" w:customStyle="1" w:styleId="Style2">
    <w:name w:val="Основной текст (2)"/>
    <w:basedOn w:val="Normal"/>
    <w:link w:val="CharStyle3"/>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color w:val="48619A"/>
      <w:sz w:val="16"/>
      <w:szCs w:val="16"/>
      <w:u w:val="none"/>
    </w:rPr>
  </w:style>
  <w:style w:type="paragraph" w:customStyle="1" w:styleId="Style5">
    <w:name w:val="Основной текст (4)"/>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8619A"/>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19">
    <w:name w:val="Заголовок №1"/>
    <w:basedOn w:val="Normal"/>
    <w:link w:val="CharStyle20"/>
    <w:pPr>
      <w:widowControl w:val="0"/>
      <w:shd w:val="clear" w:color="auto" w:fill="auto"/>
      <w:spacing w:after="200"/>
      <w:outlineLvl w:val="0"/>
    </w:pPr>
    <w:rPr>
      <w:rFonts w:ascii="Arial" w:eastAsia="Arial" w:hAnsi="Arial" w:cs="Arial"/>
      <w:b/>
      <w:bCs/>
      <w:i w:val="0"/>
      <w:iCs w:val="0"/>
      <w:smallCaps w:val="0"/>
      <w:strike w:val="0"/>
      <w:sz w:val="36"/>
      <w:szCs w:val="36"/>
      <w:u w:val="none"/>
    </w:rPr>
  </w:style>
  <w:style w:type="paragraph" w:customStyle="1" w:styleId="Style29">
    <w:name w:val="Другое"/>
    <w:basedOn w:val="Normal"/>
    <w:link w:val="CharStyle3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3">
    <w:name w:val="Основной текст (3)"/>
    <w:basedOn w:val="Normal"/>
    <w:link w:val="CharStyle34"/>
    <w:pPr>
      <w:widowControl w:val="0"/>
      <w:shd w:val="clear" w:color="auto" w:fill="auto"/>
      <w:spacing w:after="1420"/>
      <w:ind w:left="3100"/>
    </w:pPr>
    <w:rPr>
      <w:rFonts w:ascii="Arial" w:eastAsia="Arial" w:hAnsi="Arial" w:cs="Arial"/>
      <w:b w:val="0"/>
      <w:bCs w:val="0"/>
      <w:i w:val="0"/>
      <w:iCs w:val="0"/>
      <w:smallCaps w:val="0"/>
      <w:strike w:val="0"/>
      <w:color w:val="5E5E5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