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0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4B6293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1о67@Гаа. цот.ги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ВШ/4125/2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B629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заказчик: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ОГБУЗ «Смоленский областной онкологический клинический диспансер»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Маршала Жукова, д. 19, г. Смоленск, 214000 о§Ьн2.</w:t>
      </w:r>
      <w:r>
        <w:fldChar w:fldCharType="begin"/>
      </w:r>
      <w:r>
        <w:rPr/>
        <w:instrText> HYPERLINK "mailto:sookdf@yandex.ru"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8оокс1?/у апс1сх. гн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СОГКУ «Региональный центр закупок»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пл. Ленина, д.1, г. Смоленск, 214008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left"/>
      </w:pPr>
      <w:r>
        <w:fldChar w:fldCharType="begin"/>
      </w:r>
      <w:r>
        <w:rPr/>
        <w:instrText> HYPERLINK "mailto:zakupki_sogku_rzz@mail.ru"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/акнрк|_8оД&lt;и_г//?/ таП.гн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«Фармация»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Донская, д.11, стр.2, помещ. 1/1, г. Москва, 119049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"mailto:123@famiaciya.com"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123?/Гаппас1уа.сот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площадка: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632" w:bottom="1231" w:left="1140" w:header="0" w:footer="3" w:gutter="0"/>
          <w:pgNumType w:start="1"/>
          <w:cols w:num="2" w:space="720" w:equalWidth="0">
            <w:col w:w="4296" w:space="965"/>
            <w:col w:w="486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кой П8-1епс1ег.ги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21" w:right="0" w:bottom="889" w:left="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406"/>
        <w:gridCol w:w="5832"/>
      </w:tblGrid>
      <w:tr>
        <w:trPr>
          <w:trHeight w:val="235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РЕШЕНИЕ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067/06/33-629/2024 о нарушении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законодательства Российской Федерации о контрактной системе</w:t>
      </w:r>
    </w:p>
    <w:p>
      <w:pPr>
        <w:widowControl w:val="0"/>
        <w:spacing w:after="31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8736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сентября 2024 года</w:t>
        <w:tab/>
        <w:t>г. Смоленск</w:t>
      </w:r>
    </w:p>
    <w:tbl>
      <w:tblPr>
        <w:tblOverlap w:val="never"/>
        <w:jc w:val="center"/>
        <w:tblLayout w:type="fixed"/>
      </w:tblPr>
      <w:tblGrid>
        <w:gridCol w:w="4406"/>
        <w:gridCol w:w="5837"/>
      </w:tblGrid>
      <w:tr>
        <w:trPr>
          <w:trHeight w:val="77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Комиссия Смоленского УФАС Комиссия) в следующем составе: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России по контролю в сфере закупок (далее -</w:t>
            </w:r>
          </w:p>
        </w:tc>
      </w:tr>
      <w:tr>
        <w:trPr>
          <w:trHeight w:val="170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начальник отдела контроля закупок и антимонопольного контроля органов власти Смоленского УФАС России;</w:t>
            </w:r>
          </w:p>
        </w:tc>
      </w:tr>
      <w:tr>
        <w:trPr>
          <w:trHeight w:val="30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специалист-эксперт отдела контроля закупок и антимонопольного контроля органов власти Смоленского УФАС России;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специалист-эксперт отдела контроля закупок и антимонопольного контроля органов власти Смоленского УФАС России,</w:t>
            </w:r>
          </w:p>
        </w:tc>
      </w:tr>
    </w:tbl>
    <w:p>
      <w:pPr>
        <w:widowControl w:val="0"/>
        <w:spacing w:after="499" w:line="1" w:lineRule="exact"/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дистанционном режиме рассмотрения жалобы представителей: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заказчика: Мироновой В.А. (доверенность №4/2024 от 19.01.2024);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заявителя: Кравцовой С.Д. (доверенность № б/н от 29.08.2023);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органа: Макаренкова В.А. (доверенность № 02 от 27.08.2024), 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75/14, приказом Смоленского УФАС России от 20.08.2024 № 117/24, в дистанционном режиме жалобу ООО «Фармация» (далее - Заявитель, Общество) и проведя внеплановую проверку,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Смоленское УФАС России 24.09.2024 поступила жалоба ООО «Фармация», согласно которой при проведении электронного аукциона: «Поставка лекарственного препарата для медицинского применения Паклитаксел» (извещение №0863500000624000570) в нарушение требований Закона, Заказчиком не указаны альтернативные дозировки (объемы наполнения первичной упаковки) лекарственного препарата с МНН «Паклитаксел».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Государственным заказчиком по данному электронному аукциону является Областное государственное бюджетное учреждение здравоохранения «Смоленский областной онкологический клинический диспансер» (далее - Заказчик), уполномоченным органом - Смоленское областное государственное казенное учреждение «Региональный центр закупок» (далее - уполномоченный орган).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не согласился.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пояснений сторон,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17.09.2024 уполномоченным органом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\у\у\у.хакирк1.§оу.ги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размещено Извещение № 0863500000624000570 о проведении электронного аукциона.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(далее - НМЦК) - 6 056 900,00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подачи ценовых предложений от 25.09.2024 №ЦПА1 на участие в закупке заявки подали 2 участника закупки, ценовые предложения которых составили: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с идентификационным номером 117316692 - 6 026 615,00 рублей (снижение составило 0,50%);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с идентификационным номером 117339476 - 6 026 615,50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27.09.2024 №ИЭА1 все заявки участников были признаны соответствующими требованиям Извещения; победителем закупки был признан участник с идентификационным номером 117316692.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1 статьи 3 Закона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Законом порядке заказчиком и направленных на обеспечение государственных или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извещение об осуществлении закупки, если иное не предусмотрено Законом, должно содержать описание объекта закупки в соответствии со статьей 33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1, 2 части 1 статьи 33 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33 Закона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15.11.2017 № 1380 определены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 (далее - Постановление РФ №1380).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Постановления РФ №1380 при описании объекта закупки заказчики помимо сведений, предусмотренных пунктом 6 части 1 статьи 33 Закона, указывают: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 (подпункт «а»);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 (подпункт «б»),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21" w:right="527" w:bottom="889" w:left="109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остаточный срок годности лекарственного препарата, выраженный в единицах измерения времени (например, «не ранее 1 января 2020 г.» или «не менее 12 месяцев с даты заключения контракта» и др.) (подпункт «в»).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«в» пункта 5 Постановления РФ №1380 при описании объекта закупки не допускается указывать объем наполнения первичной упаковки лекарственного препарата, за исключением растворов для инфузий.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6 Постановления РФ №1380 описание объекта закупки может содержать указание на характеристики, предусмотренные подпунктами «в» - «и» пункта 5 данного документа, в случае, если не имеется иной возможности описать лекарственные препараты. При этом описание объекта закупки должно содержать: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необходимости указания таких характеристик (подпункт «а»);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 (подпункт «б»).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поставка лекарственного препарата для медицинского применения Паклитаксел.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содержится в приложении к Извещению (Техническое задание).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Техническим заданием к поставляемому товару установлены следующие требования:</w:t>
      </w:r>
    </w:p>
    <w:tbl>
      <w:tblPr>
        <w:tblOverlap w:val="never"/>
        <w:jc w:val="center"/>
        <w:tblLayout w:type="fixed"/>
      </w:tblPr>
      <w:tblGrid>
        <w:gridCol w:w="2664"/>
        <w:gridCol w:w="1978"/>
        <w:gridCol w:w="1085"/>
        <w:gridCol w:w="1810"/>
        <w:gridCol w:w="1138"/>
        <w:gridCol w:w="1483"/>
      </w:tblGrid>
      <w:tr>
        <w:trPr>
          <w:trHeight w:val="2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Основной вариант поставки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Международное непатентованное 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Лекарственная форма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Дозировка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Объем наполнения первичной упаковки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Количество в ед.изм.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Паклитаксел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Концентрат для приготовления раствора для инфузий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 мг/мл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50 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92 500</w:t>
            </w:r>
          </w:p>
        </w:tc>
      </w:tr>
    </w:tbl>
    <w:p>
      <w:pPr>
        <w:widowControl w:val="0"/>
        <w:spacing w:after="199" w:line="1" w:lineRule="exact"/>
      </w:pPr>
    </w:p>
    <w:tbl>
      <w:tblPr>
        <w:tblOverlap w:val="never"/>
        <w:jc w:val="center"/>
        <w:tblLayout w:type="fixed"/>
      </w:tblPr>
      <w:tblGrid>
        <w:gridCol w:w="3010"/>
        <w:gridCol w:w="1186"/>
        <w:gridCol w:w="2275"/>
        <w:gridCol w:w="1810"/>
        <w:gridCol w:w="1848"/>
      </w:tblGrid>
      <w:tr>
        <w:trPr>
          <w:trHeight w:val="19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Альтернативный вариант поставки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Эквивалентные лекарственные 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Дозировка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Объем наполнения первичной упаковки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Количество в ед.изм.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Концентрат для приготовления раствора для инфузий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 мг/мл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25 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92 500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Техническом задании в качестве обоснования необходимости указания характеристик указано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«Лекарственный препарат Паклитаксел является противоопухолевым средством, выпускается в виде концентрата для приготовления раствора для инфузий с концентрацией б мг/мл во флаконах с разным объемом наполнения.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инструкции, дозирование препарата осуществляется из расчета мг/м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 xml:space="preserve">2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площади поверхности тела пациента (рассчитывается с учетом массы тела и высоты). Из практики клинического применения выявлено наиболее частое использование объема 50 мл.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требования безопасности к манипуляциям с противоопухолевыми препаратами, к утилизации отходов от противоопухолевых препаратов, объем наполнения первичной упаковки должен обеспечить введение дозы лекарственного препарата без остатка или с минимально возможным остатком.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оптимального проведения применяемых схем лечения, подбора корректной дозы и рационального использования лекарственного препарата необходимо приобретение лекарственного препарата Паклитаксел в объеме 50 мл».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74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700" w:right="521" w:bottom="706" w:left="1077" w:header="0" w:footer="27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Согласно пояснениям Заказчика, в инструкции на закупаемый лекарственный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2024-4431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препарат, дозирование препарата осуществляется из расчета мг/м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площади поверхности тела пациента (рассчитывается с учетом массы тела и высоты), то есть вводимая доза подбирается пациенту индивидуально лечащим врачом.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Паклитаксел (таксол) - </w:t>
      </w:r>
      <w:r>
        <w:fldChar w:fldCharType="begin"/>
      </w:r>
      <w:r>
        <w:rPr/>
        <w:instrText> HYPERLINK "https://ru.wikipedia.org/wiki/%d0%a6%d0%b8%d1%82%d0%be%d1%81%d1%82%d0%b0%d1%82%d0%b8%d1%87%d0%b5%d1%81%d0%ba%d0%b8%d0%b9_%d0%bf%d1%80%d0%b5%d0%bf%d0%b0%d1%80%d0%b0%d1%82"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цитостатический противораковый препарат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относящийся к </w:t>
      </w:r>
      <w:r>
        <w:fldChar w:fldCharType="begin"/>
      </w:r>
      <w:r>
        <w:rPr/>
        <w:instrText> HYPERLINK "https://ru.wikipedia.org/w/index.php?title=%d0%a2%d0%b0%d0%ba%d1%81%d0%b0%d0%bd%d1%8b&amp;action=edit&amp;redlink=1"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таксанам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 соответствии с пунктами 157, 205 СанПиН 2.1.3684-21 «Санитарно</w:t>
        <w:softHyphen/>
        <w:t>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</w:t>
        <w:softHyphen/>
        <w:t>противоэпидемических (профилактических) мероприятий» (утв. постановление Главного государственного санитарного врача РФ от 28.01.2021 № 3) цитостатики относятся к токсикологически опасным отходам 1-4 классов опасности (класс Г) и не подлежат последующему использованию.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Транспортирование, обезвреживание и захоронение медицинских отходов класса Г осуществляется в соответствии с гигиеническими требованиями, предъявляемыми к порядку накопления, транспортирования, обезвреживания и захоронения токсичных промышленных отходов.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проанализировав изложенное выше отмечает, что в соответствии с подпунктом «а» пункта 6 Постановления РФ №1380 в Техническом задании Заказчиком представлено обоснование необходимости установления характеристик в отношении показателя «объем наполнения первичной упаковки».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сведениями Государственного реестра лекарственных средств (</w:t>
      </w:r>
      <w:r>
        <w:fldChar w:fldCharType="begin"/>
      </w:r>
      <w:r>
        <w:rPr/>
        <w:instrText> HYPERLINK "https://grls.rosminzdrav.ru"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1111р8://§г18.го8ттхс1гау.ги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на территории Российской Федерации зарегистрировано 20 лекарственных препаратов с МНН: «Паклитаксел» с объемом наполнения первичной упаковки 50 мл и 25 мл.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оснований для вывода о том, что описание объекта закупки составлено с нарушением требований действующего законодательства, не имеется.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участие в закупке было подано 2 заявки, что также свидетельствует об отсутствии ограничений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выше жалоба ООО «Фармация» признана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Общества с ограниченной ответственностью «Фармация» на положения Извещения государственного заказчика - Областного государственного бюджетного учреждения здравоохранения «Смоленский областной онкологический клинический диспансер», уполномоченного органа - Смоленского областного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казенного учреждения «Региональный центр закупок» при проведении электронного аукциона: «Поставка лекарственного препарата для медицинского применения Паклитаксел» (извещение №0863500000624000570)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700" w:right="523" w:bottom="1436" w:left="108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88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2801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282828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75.95000000000005pt;width:49.450000000000003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282828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399999999999999pt;margin-top:788.70000000000005pt;width:50.1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3932555</wp:posOffset>
              </wp:positionH>
              <wp:positionV relativeFrom="page">
                <wp:posOffset>647700</wp:posOffset>
              </wp:positionV>
              <wp:extent cx="6413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65000000000003pt;margin-top:51.pt;width:5.04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762635</wp:posOffset>
              </wp:positionV>
              <wp:extent cx="5461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60.050000000000004pt;width:4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3932555</wp:posOffset>
              </wp:positionH>
              <wp:positionV relativeFrom="page">
                <wp:posOffset>647700</wp:posOffset>
              </wp:positionV>
              <wp:extent cx="64135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65000000000003pt;margin-top:51.pt;width:5.0499999999999998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таблиц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4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