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92835" distR="105918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805815</wp:posOffset>
                </wp:positionH>
                <wp:positionV relativeFrom="paragraph">
                  <wp:posOffset>622300</wp:posOffset>
                </wp:positionV>
                <wp:extent cx="2435225" cy="1831975"/>
                <wp:wrapSquare wrapText="right"/>
                <wp:docPr id="3" name="Shape 3"/>
                <a:graphic xmlns:a="http://schemas.openxmlformats.org/drawingml/2006/main">
                  <a:graphicData uri="http://schemas.microsoft.com/office/word/2010/wordprocessingShape">
                    <wps:wsp>
                      <wps:cNvSpPr txBox="1"/>
                      <wps:spPr>
                        <a:xfrm>
                          <a:ext cx="2435225" cy="183197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02.10.2024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40586/24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450000000000003pt;margin-top:49.pt;width:191.75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02.10.2024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40586/24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ГБУ «ПТЦ ПАСТ»</w:t>
      </w:r>
    </w:p>
    <w:p>
      <w:pPr>
        <w:pStyle w:val="Style6"/>
        <w:keepNext w:val="0"/>
        <w:keepLines w:val="0"/>
        <w:widowControl w:val="0"/>
        <w:shd w:val="clear" w:color="auto" w:fill="auto"/>
        <w:bidi w:val="0"/>
        <w:spacing w:before="0" w:after="240" w:line="240" w:lineRule="auto"/>
        <w:ind w:left="1140" w:right="0" w:firstLine="0"/>
        <w:jc w:val="left"/>
      </w:pPr>
      <w:r>
        <w:rPr>
          <w:color w:val="000000"/>
          <w:spacing w:val="0"/>
          <w:w w:val="100"/>
          <w:position w:val="0"/>
          <w:shd w:val="clear" w:color="auto" w:fill="auto"/>
          <w:lang w:val="ru-RU" w:eastAsia="ru-RU" w:bidi="ru-RU"/>
        </w:rPr>
        <w:t>Ма1ауаО^@Ъеx.то8.^и</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ООО «ПЕРСПЕКТИВА»</w:t>
      </w:r>
    </w:p>
    <w:p>
      <w:pPr>
        <w:pStyle w:val="Style6"/>
        <w:keepNext w:val="0"/>
        <w:keepLines w:val="0"/>
        <w:widowControl w:val="0"/>
        <w:shd w:val="clear" w:color="auto" w:fill="auto"/>
        <w:bidi w:val="0"/>
        <w:spacing w:before="0" w:after="1060" w:line="240" w:lineRule="auto"/>
        <w:ind w:left="1140" w:right="0" w:firstLine="0"/>
        <w:jc w:val="left"/>
      </w:pPr>
      <w:r>
        <w:rPr>
          <w:color w:val="000000"/>
          <w:spacing w:val="0"/>
          <w:w w:val="100"/>
          <w:position w:val="0"/>
          <w:shd w:val="clear" w:color="auto" w:fill="auto"/>
          <w:lang w:val="ru-RU" w:eastAsia="ru-RU" w:bidi="ru-RU"/>
        </w:rPr>
        <w:t>р.1дпа1о\@'а1Га4л/.п1</w:t>
      </w:r>
    </w:p>
    <w:p>
      <w:pPr>
        <w:pStyle w:val="Style2"/>
        <w:keepNext w:val="0"/>
        <w:keepLines w:val="0"/>
        <w:widowControl w:val="0"/>
        <w:shd w:val="clear" w:color="auto" w:fill="auto"/>
        <w:bidi w:val="0"/>
        <w:spacing w:before="0" w:after="700" w:line="240" w:lineRule="auto"/>
        <w:ind w:left="0" w:right="0" w:firstLine="0"/>
        <w:jc w:val="both"/>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077/06/106-13141/2024 о нарушении</w:t>
        <w:br/>
        <w:t>законодательства о контрактной системе</w:t>
        <w:br/>
        <w:t>01.10.2024</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 «ПТЦ ПАСТ»: О.Н. Малой (доверенность от 30.09.2024 №07-24/24),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«ПЕРСПЕКТИВА»,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840" w:line="240" w:lineRule="auto"/>
        <w:ind w:left="0" w:right="0" w:firstLine="720"/>
        <w:jc w:val="both"/>
      </w:pPr>
      <w:r>
        <w:rPr>
          <w:color w:val="000000"/>
          <w:spacing w:val="0"/>
          <w:w w:val="100"/>
          <w:position w:val="0"/>
          <w:shd w:val="clear" w:color="auto" w:fill="auto"/>
          <w:lang w:val="ru-RU" w:eastAsia="ru-RU" w:bidi="ru-RU"/>
        </w:rPr>
        <w:t>рассмотрев жалобу ООО «ПЕРСПЕКТИВА» (далее — Заявитель) на действия ГБУ «ПТЦ ПАСТ» (далее — Заказчик) при проведении электронного аукциона на право заключения государственного контракта на поставку запасных частей для лазерных принтеров и многофункциональных устройств (Закупка № 0373200610024000017)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1111111111111111111II1111</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на этапе заключения контракта неправомерно применены условия допуска в соответствии с положениями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что повлекло за собой направление проекта государственного контракта на подписание победителю аукциона в лице ООО «ПЕРСПЕКТИВА» с ценой контракта сниженной на 15 процентов от предложенной победителем.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16.09.2024 №ИЭА1 участник закупки ООО «ПЕРСПЕКТИВА» признан победителем электронного аукциона, ценовое предложение которого составило 202 065,00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ПП. «б» п.1 ч.2 ст.51 Закона о контрактной системе установлено, что не позднее двух рабочих дней, следующих за днем размещения в единой информационной системе протоколов, указанных в части 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п.5 ч. ст.42 Закона о контрактной системе, который должен содержать цену контракта, соответствующую цене контракта, предложенной в соответствии с Закона о контрактной системе участником закупки, с которым заключается контракт, с учетом положений нормативных правовых актов, принятых в соответствии со ст.14 Закона о контрактной системе, положений ст.28 и 29 Закона о контрактной системе, цену каждого отдельного этапа исполнения контракта, определенную в соответствии с ч.2 ст.34 Закона о контрактной системе (если проектом контракта предусмотрены отдельные этапы его исполнения).</w:t>
      </w:r>
    </w:p>
    <w:p>
      <w:pPr>
        <w:pStyle w:val="Style6"/>
        <w:keepNext w:val="0"/>
        <w:keepLines w:val="0"/>
        <w:widowControl w:val="0"/>
        <w:shd w:val="clear" w:color="auto" w:fill="auto"/>
        <w:tabs>
          <w:tab w:pos="58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от 06.09.2024</w:t>
        <w:tab/>
        <w:t>№0373200610024000017 указано</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 применение в рамках рассматриваемой закупки условий допуска товаров, происходящих из иностранного государства или группы иностранных государств, на основании положений приказа №126н.</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согласно извещению об осуществлении закупки установлено: «Участникам, заявки или окончательные предложения которых содержат предложения о поставке товаров в соответствии с приказом Минфина России от 04.06.2018 № 126н - 15.0%».</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«а» п.1.3 приказа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п.2 приказа №126н положения пп.1.1-.1.3 п.1 приказа №126н не применяются при проведении конкурса, аукциона, запроса котировок, запроса предложений в случаях, если:</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конкурс, аукцион, запрос котировок, запрос предложений признается не состоявшимся в случаях, предусмотренных Федеральным законом;</w:t>
      </w:r>
    </w:p>
    <w:p>
      <w:pPr>
        <w:pStyle w:val="Style6"/>
        <w:keepNext w:val="0"/>
        <w:keepLines w:val="0"/>
        <w:widowControl w:val="0"/>
        <w:numPr>
          <w:ilvl w:val="0"/>
          <w:numId w:val="1"/>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pPr>
        <w:pStyle w:val="Style6"/>
        <w:keepNext w:val="0"/>
        <w:keepLines w:val="0"/>
        <w:widowControl w:val="0"/>
        <w:numPr>
          <w:ilvl w:val="0"/>
          <w:numId w:val="1"/>
        </w:numPr>
        <w:shd w:val="clear" w:color="auto" w:fill="auto"/>
        <w:tabs>
          <w:tab w:pos="1081" w:val="left"/>
        </w:tabs>
        <w:bidi w:val="0"/>
        <w:spacing w:before="0" w:after="0" w:line="262" w:lineRule="auto"/>
        <w:ind w:left="0" w:right="0" w:firstLine="740"/>
        <w:jc w:val="both"/>
        <w:rPr>
          <w:sz w:val="24"/>
          <w:szCs w:val="24"/>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022" w:right="536" w:bottom="828" w:left="1106"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w:t>
      </w:r>
      <w:r>
        <w:rPr>
          <w:color w:val="000000"/>
          <w:spacing w:val="0"/>
          <w:w w:val="100"/>
          <w:position w:val="0"/>
          <w:sz w:val="24"/>
          <w:szCs w:val="24"/>
          <w:shd w:val="clear" w:color="auto" w:fill="auto"/>
          <w:lang w:val="ru-RU" w:eastAsia="ru-RU" w:bidi="ru-RU"/>
        </w:rPr>
        <w:t>2024-45933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является иностранное государство (за исключением государств - членов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п.1.6 приказа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пп.1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6"/>
        <w:keepNext w:val="0"/>
        <w:keepLines w:val="0"/>
        <w:widowControl w:val="0"/>
        <w:numPr>
          <w:ilvl w:val="0"/>
          <w:numId w:val="3"/>
        </w:numPr>
        <w:shd w:val="clear" w:color="auto" w:fill="auto"/>
        <w:tabs>
          <w:tab w:pos="109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члены комиссии по осуществлению закупок:</w:t>
      </w:r>
    </w:p>
    <w:p>
      <w:pPr>
        <w:pStyle w:val="Style6"/>
        <w:keepNext w:val="0"/>
        <w:keepLines w:val="0"/>
        <w:widowControl w:val="0"/>
        <w:numPr>
          <w:ilvl w:val="0"/>
          <w:numId w:val="5"/>
        </w:numPr>
        <w:shd w:val="clear" w:color="auto" w:fill="auto"/>
        <w:tabs>
          <w:tab w:pos="108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контактной системе;</w:t>
      </w:r>
    </w:p>
    <w:p>
      <w:pPr>
        <w:pStyle w:val="Style6"/>
        <w:keepNext w:val="0"/>
        <w:keepLines w:val="0"/>
        <w:widowControl w:val="0"/>
        <w:numPr>
          <w:ilvl w:val="0"/>
          <w:numId w:val="5"/>
        </w:numPr>
        <w:shd w:val="clear" w:color="auto" w:fill="auto"/>
        <w:tabs>
          <w:tab w:pos="1105"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контактной системе. Заявке на участие в закупке победителя определения поставщика (подрядчика, исполнителя) присваивается первый номер.</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pgSz w:w="11900" w:h="16840"/>
          <w:pgMar w:top="1162" w:right="550"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На основании ч.4 ст.106 Закона о контрактной системе участник закупки,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участником закупки, продекларировавшем, что страной происхождения предлагаемых к поставка товаров является либо Российская Федерация, либо страны — члены Евразийского экономического союза, представлена недостоверная информация, поскольку указанная продукция на территории названных стран не производится. В подтверждение своей позиции Заявитель в жалобе приводит ссылки на сайты поставщиков оборудования.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мнению Заявителя, при проведении закупочной процедуры у Заказчика отсутствовали основания для применения условий допуска, предусмотренных пп. «а» п.1.3 приказа № 126н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заявок ИП Сазонова О.Ю. и ООО «Алые Паруса» продекларирована страна происхождения требующихся к поставке товаров «Российская Федерация», ввиду чего Заказчиком при заключении контракта применены условия допуска путем направления проекта государственного контракта на подписание победителю аукциона в лице ООО «ПЕРСПЕКТИВА» с ценой контракта, сниженной на 15 процентов от предложенной победителем.</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(п.7).</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предоставленное комиссии Заказчика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как следует из материалов дела,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комиссии Заказчика не имелось, неопровержимыми доказательствами недостоверности таких сведений последний не располагал.</w:t>
      </w:r>
    </w:p>
    <w:p>
      <w:pPr>
        <w:pStyle w:val="Style6"/>
        <w:keepNext w:val="0"/>
        <w:keepLines w:val="0"/>
        <w:widowControl w:val="0"/>
        <w:shd w:val="clear" w:color="auto" w:fill="auto"/>
        <w:bidi w:val="0"/>
        <w:spacing w:before="0" w:after="0" w:line="276" w:lineRule="auto"/>
        <w:ind w:left="0" w:right="0" w:firstLine="720"/>
        <w:jc w:val="both"/>
        <w:rPr>
          <w:sz w:val="24"/>
          <w:szCs w:val="24"/>
        </w:rPr>
        <w:sectPr>
          <w:footnotePr>
            <w:pos w:val="pageBottom"/>
            <w:numFmt w:val="decimal"/>
            <w:numRestart w:val="continuous"/>
          </w:footnotePr>
          <w:pgSz w:w="11900" w:h="16840"/>
          <w:pgMar w:top="1162" w:right="541" w:bottom="67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то же время Комиссия Управления отмечает, что данные, указанные на сайтах организаций не всегда являются корректными, поскольку информация распространяемая в рекламных и маркетинговых целях — коммерческие </w:t>
      </w:r>
      <w:r>
        <w:rPr>
          <w:color w:val="000000"/>
          <w:spacing w:val="0"/>
          <w:w w:val="100"/>
          <w:position w:val="0"/>
          <w:sz w:val="24"/>
          <w:szCs w:val="24"/>
          <w:shd w:val="clear" w:color="auto" w:fill="auto"/>
          <w:lang w:val="ru-RU" w:eastAsia="ru-RU" w:bidi="ru-RU"/>
        </w:rPr>
        <w:t>2024-45933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предложения, рекламные буклеты, веб-сайт, СМИ и подобные — носит общий информационно-ознакомительный характер и никоим образом не может однозначно свидетельствовать о наличии или отсутствии у организации помещений и площадок, поскольку такая доказательная база может быть опровергнута официальным письмом или представителем организации.</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Доказательств обратного в составе жалобы не приведено.</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решение Заказчика в части применения к победителю аукциона положений п. 1.3 Приказа № 126н является правомерным и не противоречит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58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46"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0"/>
        <w:keepNext/>
        <w:keepLines/>
        <w:widowControl w:val="0"/>
        <w:numPr>
          <w:ilvl w:val="0"/>
          <w:numId w:val="7"/>
        </w:numPr>
        <w:shd w:val="clear" w:color="auto" w:fill="auto"/>
        <w:tabs>
          <w:tab w:pos="1040" w:val="left"/>
        </w:tabs>
        <w:bidi w:val="0"/>
        <w:spacing w:before="0" w:after="0" w:line="240" w:lineRule="auto"/>
        <w:ind w:left="0" w:right="0"/>
        <w:jc w:val="both"/>
      </w:pPr>
      <w:bookmarkStart w:id="1" w:name="bookmark1"/>
      <w:r>
        <w:rPr>
          <w:color w:val="000000"/>
          <w:spacing w:val="0"/>
          <w:w w:val="100"/>
          <w:position w:val="0"/>
          <w:shd w:val="clear" w:color="auto" w:fill="auto"/>
          <w:lang w:val="ru-RU" w:eastAsia="ru-RU" w:bidi="ru-RU"/>
        </w:rPr>
        <w:t>.Признать жалобу ООО «ПЕРСПЕКТИВА» на действия ГБУ «ПТЦ ПАСТ» необоснованной.</w:t>
      </w:r>
      <w:bookmarkEnd w:id="1"/>
    </w:p>
    <w:p>
      <w:pPr>
        <w:pStyle w:val="Style20"/>
        <w:keepNext/>
        <w:keepLines/>
        <w:widowControl w:val="0"/>
        <w:numPr>
          <w:ilvl w:val="0"/>
          <w:numId w:val="7"/>
        </w:numPr>
        <w:shd w:val="clear" w:color="auto" w:fill="auto"/>
        <w:tabs>
          <w:tab w:pos="1054" w:val="left"/>
        </w:tabs>
        <w:bidi w:val="0"/>
        <w:spacing w:before="0" w:after="240" w:line="240" w:lineRule="auto"/>
        <w:ind w:left="0" w:right="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20"/>
        <w:keepNext/>
        <w:keepLines/>
        <w:widowControl w:val="0"/>
        <w:shd w:val="clear" w:color="auto" w:fill="auto"/>
        <w:bidi w:val="0"/>
        <w:spacing w:before="0" w:after="0" w:line="240" w:lineRule="auto"/>
        <w:ind w:left="0" w:right="0"/>
        <w:jc w:val="both"/>
      </w:pPr>
      <w:bookmarkStart w:id="3" w:name="bookmark3"/>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bookmarkEnd w:id="3"/>
    </w:p>
    <w:p>
      <w:pPr>
        <w:widowControl w:val="0"/>
        <w:spacing w:line="1" w:lineRule="exact"/>
        <w:sectPr>
          <w:footnotePr>
            <w:pos w:val="pageBottom"/>
            <w:numFmt w:val="decimal"/>
            <w:numRestart w:val="continuous"/>
          </w:footnotePr>
          <w:pgSz w:w="11900" w:h="16840"/>
          <w:pgMar w:top="1158" w:right="546" w:bottom="2521" w:left="1106" w:header="0" w:footer="3" w:gutter="0"/>
          <w:cols w:space="720"/>
          <w:noEndnote/>
          <w:rtlGutter w:val="0"/>
          <w:docGrid w:linePitch="360"/>
        </w:sectPr>
      </w:pPr>
      <w:r>
        <mc:AlternateContent>
          <mc:Choice Requires="wps">
            <w:drawing>
              <wp:anchor distT="330200" distB="219075" distL="0" distR="0" simplePos="0" relativeHeight="125829381" behindDoc="0" locked="0" layoutInCell="1" allowOverlap="1">
                <wp:simplePos x="0" y="0"/>
                <wp:positionH relativeFrom="page">
                  <wp:posOffset>735965</wp:posOffset>
                </wp:positionH>
                <wp:positionV relativeFrom="paragraph">
                  <wp:posOffset>330200</wp:posOffset>
                </wp:positionV>
                <wp:extent cx="1896110" cy="250190"/>
                <wp:wrapTopAndBottom/>
                <wp:docPr id="21" name="Shape 21"/>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950000000000003pt;margin-top:26.pt;width:149.30000000000001pt;height:19.699999999999999pt;z-index:-125829372;mso-wrap-distance-left:0;mso-wrap-distance-top:2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0050" distB="0" distL="0" distR="1789430" simplePos="0" relativeHeight="125829383" behindDoc="0" locked="0" layoutInCell="1" allowOverlap="1">
            <wp:simplePos x="0" y="0"/>
            <wp:positionH relativeFrom="page">
              <wp:posOffset>3107055</wp:posOffset>
            </wp:positionH>
            <wp:positionV relativeFrom="paragraph">
              <wp:posOffset>400050</wp:posOffset>
            </wp:positionV>
            <wp:extent cx="353695" cy="40259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491490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38.700000000000003pt;width:135.84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9075" distL="0" distR="0" simplePos="0" relativeHeight="125829384" behindDoc="0" locked="0" layoutInCell="1" allowOverlap="1">
                <wp:simplePos x="0" y="0"/>
                <wp:positionH relativeFrom="page">
                  <wp:posOffset>6039485</wp:posOffset>
                </wp:positionH>
                <wp:positionV relativeFrom="paragraph">
                  <wp:posOffset>330200</wp:posOffset>
                </wp:positionV>
                <wp:extent cx="1182370" cy="250190"/>
                <wp:wrapTopAndBottom/>
                <wp:docPr id="27" name="Shape 27"/>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3" type="#_x0000_t202" style="position:absolute;margin-left:475.55000000000001pt;margin-top:26.pt;width:93.100000000000009pt;height:19.699999999999999pt;z-index:-125829369;mso-wrap-distance-left:0;mso-wrap-distance-top:2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515151"/>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Миронова Елена Александровна</w:t>
      </w:r>
    </w:p>
    <w:p>
      <w:pPr>
        <w:pStyle w:val="Style2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009Е4В25САЕ808О44Е0В7ВЕ0438СО1</w:t>
      </w:r>
      <w:r>
        <w:rPr>
          <w:color w:val="252525"/>
          <w:spacing w:val="0"/>
          <w:w w:val="100"/>
          <w:position w:val="0"/>
          <w:shd w:val="clear" w:color="auto" w:fill="auto"/>
          <w:lang w:val="ru-RU" w:eastAsia="ru-RU" w:bidi="ru-RU"/>
        </w:rPr>
        <w:t>12В</w:t>
      </w:r>
      <w:r>
        <w:rPr>
          <w:color w:val="252525"/>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515151"/>
          <w:spacing w:val="0"/>
          <w:w w:val="100"/>
          <w:position w:val="0"/>
          <w:shd w:val="clear" w:color="auto" w:fill="auto"/>
          <w:lang w:val="ru-RU" w:eastAsia="ru-RU" w:bidi="ru-RU"/>
        </w:rPr>
        <w:t xml:space="preserve">21.03.2024 </w:t>
      </w:r>
      <w:r>
        <w:rPr>
          <w:spacing w:val="0"/>
          <w:w w:val="100"/>
          <w:position w:val="0"/>
          <w:shd w:val="clear" w:color="auto" w:fill="auto"/>
          <w:lang w:val="ru-RU" w:eastAsia="ru-RU" w:bidi="ru-RU"/>
        </w:rPr>
        <w:t>по 14.06.2025</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6" behindDoc="0" locked="0" layoutInCell="1" allowOverlap="1">
            <wp:simplePos x="0" y="0"/>
            <wp:positionH relativeFrom="page">
              <wp:posOffset>3073400</wp:posOffset>
            </wp:positionH>
            <wp:positionV relativeFrom="paragraph">
              <wp:posOffset>25400</wp:posOffset>
            </wp:positionV>
            <wp:extent cx="389890" cy="57277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464185</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81.10000000000002pt;margin-top:36.550000000000004pt;width:100.8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153670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pt;margin-top:12.1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Гугава Эдуард Звиадович</w:t>
      </w:r>
    </w:p>
    <w:p>
      <w:pPr>
        <w:pStyle w:val="Style2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3E3E3E"/>
          <w:spacing w:val="0"/>
          <w:w w:val="100"/>
          <w:position w:val="0"/>
          <w:shd w:val="clear" w:color="auto" w:fill="auto"/>
          <w:lang w:val="ru-RU" w:eastAsia="ru-RU" w:bidi="ru-RU"/>
        </w:rPr>
        <w:t>В04705С4В0130528702ЕАЕ</w:t>
      </w:r>
    </w:p>
    <w:p>
      <w:pPr>
        <w:pStyle w:val="Style26"/>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7" behindDoc="0" locked="0" layoutInCell="1" allowOverlap="1">
            <wp:simplePos x="0" y="0"/>
            <wp:positionH relativeFrom="page">
              <wp:posOffset>3094990</wp:posOffset>
            </wp:positionH>
            <wp:positionV relativeFrom="paragraph">
              <wp:posOffset>50800</wp:posOffset>
            </wp:positionV>
            <wp:extent cx="365760" cy="5486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65760" cy="5486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3570605</wp:posOffset>
                </wp:positionH>
                <wp:positionV relativeFrom="paragraph">
                  <wp:posOffset>462280</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3" type="#_x0000_t202" style="position:absolute;margin-left:281.15000000000003pt;margin-top:36.399999999999999pt;width:100.8pt;height:7.90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148590</wp:posOffset>
                </wp:positionV>
                <wp:extent cx="1725295" cy="259080"/>
                <wp:wrapNone/>
                <wp:docPr id="39" name="Shape 3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5000000000001pt;margin-top:11.700000000000001pt;width:135.84999999999999pt;height:20.40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Кутейников Антон Андреевич</w:t>
      </w:r>
    </w:p>
    <w:p>
      <w:pPr>
        <w:pStyle w:val="Style26"/>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526ССО2Е48634А0964757620Е6Е0АЕ90</w:t>
      </w:r>
    </w:p>
    <w:p>
      <w:pPr>
        <w:pStyle w:val="Style26"/>
        <w:keepNext w:val="0"/>
        <w:keepLines w:val="0"/>
        <w:widowControl w:val="0"/>
        <w:shd w:val="clear" w:color="auto" w:fill="auto"/>
        <w:bidi w:val="0"/>
        <w:spacing w:before="0" w:after="2800" w:line="240" w:lineRule="auto"/>
        <w:ind w:right="0" w:firstLine="0"/>
        <w:jc w:val="left"/>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3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тел.495-784-75-05 вн.</w:t>
      </w:r>
    </w:p>
    <w:sectPr>
      <w:footnotePr>
        <w:pos w:val="pageBottom"/>
        <w:numFmt w:val="decimal"/>
        <w:numRestart w:val="continuous"/>
      </w:footnotePr>
      <w:type w:val="continuous"/>
      <w:pgSz w:w="11900" w:h="16840"/>
      <w:pgMar w:top="1158" w:right="54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10165080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wps:txbx>
                    <wps:bodyPr wrap="none" lIns="0" tIns="0" rIns="0" bIns="0">
                      <a:spAutoFit/>
                    </wps:bodyPr>
                  </wps:wsp>
                </a:graphicData>
              </a:graphic>
            </wp:anchor>
          </w:drawing>
        </mc:Choice>
        <mc:Fallback>
          <w:pict>
            <v:shape id="_x0000_s1035" type="#_x0000_t202" style="position:absolute;margin-left:57.200000000000003pt;margin-top:800.39999999999998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10231120</wp:posOffset>
              </wp:positionV>
              <wp:extent cx="716280" cy="100330"/>
              <wp:wrapNone/>
              <wp:docPr id="11" name="Shape 1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wps:txbx>
                    <wps:bodyPr wrap="none" lIns="0" tIns="0" rIns="0" bIns="0">
                      <a:spAutoFit/>
                    </wps:bodyPr>
                  </wps:wsp>
                </a:graphicData>
              </a:graphic>
            </wp:anchor>
          </w:drawing>
        </mc:Choice>
        <mc:Fallback>
          <w:pict>
            <v:shape id="_x0000_s1037" type="#_x0000_t202" style="position:absolute;margin-left:57.pt;margin-top:805.60000000000002pt;width:56.3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10165080</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wps:txbx>
                    <wps:bodyPr wrap="none" lIns="0" tIns="0" rIns="0" bIns="0">
                      <a:spAutoFit/>
                    </wps:bodyPr>
                  </wps:wsp>
                </a:graphicData>
              </a:graphic>
            </wp:anchor>
          </w:drawing>
        </mc:Choice>
        <mc:Fallback>
          <w:pict>
            <v:shape id="_x0000_s1041" type="#_x0000_t202" style="position:absolute;margin-left:57.200000000000003pt;margin-top:800.39999999999998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10165080</wp:posOffset>
              </wp:positionV>
              <wp:extent cx="722630" cy="100330"/>
              <wp:wrapNone/>
              <wp:docPr id="19" name="Shape 1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wps:txbx>
                    <wps:bodyPr wrap="none" lIns="0" tIns="0" rIns="0" bIns="0">
                      <a:spAutoFit/>
                    </wps:bodyPr>
                  </wps:wsp>
                </a:graphicData>
              </a:graphic>
            </wp:anchor>
          </w:drawing>
        </mc:Choice>
        <mc:Fallback>
          <w:pict>
            <v:shape id="_x0000_s1045" type="#_x0000_t202" style="position:absolute;margin-left:57.200000000000003pt;margin-top:800.39999999999998pt;width:56.899999999999999pt;height:7.90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389890</wp:posOffset>
              </wp:positionV>
              <wp:extent cx="57785" cy="103505"/>
              <wp:wrapNone/>
              <wp:docPr id="5" name="Shape 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25pt;margin-top:30.699999999999999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3926840</wp:posOffset>
              </wp:positionH>
              <wp:positionV relativeFrom="page">
                <wp:posOffset>476250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19999999999999pt;margin-top:37.5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3926840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5pt;width:5.0499999999999998pt;height:8.15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 (6)_"/>
    <w:basedOn w:val="DefaultParagraphFont"/>
    <w:link w:val="Style14"/>
    <w:rPr>
      <w:rFonts w:ascii="Arial" w:eastAsia="Arial" w:hAnsi="Arial" w:cs="Arial"/>
      <w:b w:val="0"/>
      <w:bCs w:val="0"/>
      <w:i w:val="0"/>
      <w:iCs w:val="0"/>
      <w:smallCaps w:val="0"/>
      <w:strike w:val="0"/>
      <w:sz w:val="42"/>
      <w:szCs w:val="42"/>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1">
    <w:name w:val="Заголовок №1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686868"/>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6)"/>
    <w:basedOn w:val="Normal"/>
    <w:link w:val="CharStyle15"/>
    <w:pPr>
      <w:widowControl w:val="0"/>
      <w:shd w:val="clear" w:color="auto" w:fill="auto"/>
      <w:spacing w:after="480"/>
      <w:ind w:firstLine="360"/>
    </w:pPr>
    <w:rPr>
      <w:rFonts w:ascii="Arial" w:eastAsia="Arial" w:hAnsi="Arial" w:cs="Arial"/>
      <w:b w:val="0"/>
      <w:bCs w:val="0"/>
      <w:i w:val="0"/>
      <w:iCs w:val="0"/>
      <w:smallCaps w:val="0"/>
      <w:strike w:val="0"/>
      <w:sz w:val="42"/>
      <w:szCs w:val="42"/>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0">
    <w:name w:val="Заголовок №1"/>
    <w:basedOn w:val="Normal"/>
    <w:link w:val="CharStyle21"/>
    <w:pPr>
      <w:widowControl w:val="0"/>
      <w:shd w:val="clear" w:color="auto" w:fill="auto"/>
      <w:ind w:firstLine="76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Основной текст (5)"/>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Основной текст (2)"/>
    <w:basedOn w:val="Normal"/>
    <w:link w:val="CharStyle27"/>
    <w:pPr>
      <w:widowControl w:val="0"/>
      <w:shd w:val="clear" w:color="auto" w:fill="auto"/>
      <w:ind w:left="3820"/>
    </w:pPr>
    <w:rPr>
      <w:rFonts w:ascii="Arial" w:eastAsia="Arial" w:hAnsi="Arial" w:cs="Arial"/>
      <w:b w:val="0"/>
      <w:bCs w:val="0"/>
      <w:i w:val="0"/>
      <w:iCs w:val="0"/>
      <w:smallCaps w:val="0"/>
      <w:strike w:val="0"/>
      <w:color w:val="686868"/>
      <w:sz w:val="12"/>
      <w:szCs w:val="12"/>
      <w:u w:val="none"/>
    </w:rPr>
  </w:style>
  <w:style w:type="paragraph" w:customStyle="1" w:styleId="Style32">
    <w:name w:val="Основной текст (4)"/>
    <w:basedOn w:val="Normal"/>
    <w:link w:val="CharStyle33"/>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