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Амурской области</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Амурская, 150, г. Благовещенск</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Амурская область, 675000</w:t>
        <w:br/>
        <w:t>тел. (4162) 52-00-07, факс (4162) 52-00-35</w:t>
        <w:br/>
        <w:t>е-таП: 1о28@Й8.§оу.ги</w:t>
      </w:r>
    </w:p>
    <w:p>
      <w:pPr>
        <w:pStyle w:val="Style12"/>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МП/3994/2</w:t>
      </w:r>
      <w:r>
        <w:rPr>
          <w:color w:val="000000"/>
          <w:spacing w:val="0"/>
          <w:w w:val="100"/>
          <w:position w:val="0"/>
          <w:u w:val="none"/>
          <w:shd w:val="clear" w:color="auto" w:fill="auto"/>
          <w:lang w:val="ru-RU" w:eastAsia="ru-RU" w:bidi="ru-RU"/>
        </w:rPr>
        <w:t>4</w:t>
      </w:r>
      <w:bookmarkEnd w:id="0"/>
    </w:p>
    <w:p>
      <w:pPr>
        <w:pStyle w:val="Style10"/>
        <w:keepNext w:val="0"/>
        <w:keepLines w:val="0"/>
        <w:widowControl w:val="0"/>
        <w:shd w:val="clear" w:color="auto" w:fill="auto"/>
        <w:bidi w:val="0"/>
        <w:spacing w:before="0" w:after="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«Брокер Групп» оооЛеп4ег.Ъгокег77@дтаП.сот</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Федеральное государственное бюджетное учреждение «Управление мелиорации земель и сельскохозяйственного водоснабжения по Амурской области» атVк.котеV@уап^еx.^и;</w:t>
      </w:r>
    </w:p>
    <w:p>
      <w:pPr>
        <w:pStyle w:val="Style16"/>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63" w:right="805" w:bottom="1217" w:left="1140" w:header="0" w:footer="3" w:gutter="0"/>
          <w:pgNumType w:start="1"/>
          <w:cols w:num="2" w:space="566"/>
          <w:noEndnote/>
          <w:titlePg/>
          <w:rtlGutter w:val="0"/>
          <w:docGrid w:linePitch="360"/>
        </w:sectPr>
      </w:pPr>
      <w:r>
        <w:rPr>
          <w:color w:val="000000"/>
          <w:spacing w:val="0"/>
          <w:w w:val="100"/>
          <w:position w:val="0"/>
          <w:shd w:val="clear" w:color="auto" w:fill="auto"/>
          <w:lang w:val="ru-RU" w:eastAsia="ru-RU" w:bidi="ru-RU"/>
        </w:rPr>
        <w:t>а11и11411е11ОА(х111о/@уапс1е\.1Т1</w:t>
      </w:r>
    </w:p>
    <w:p>
      <w:pPr>
        <w:widowControl w:val="0"/>
        <w:spacing w:line="176" w:lineRule="exact"/>
        <w:rPr>
          <w:sz w:val="14"/>
          <w:szCs w:val="14"/>
        </w:rPr>
      </w:pPr>
    </w:p>
    <w:p>
      <w:pPr>
        <w:widowControl w:val="0"/>
        <w:spacing w:line="1" w:lineRule="exact"/>
        <w:sectPr>
          <w:footnotePr>
            <w:pos w:val="pageBottom"/>
            <w:numFmt w:val="decimal"/>
            <w:numRestart w:val="continuous"/>
          </w:footnotePr>
          <w:type w:val="continuous"/>
          <w:pgSz w:w="11900" w:h="16840"/>
          <w:pgMar w:top="771" w:right="0" w:bottom="709" w:left="0" w:header="0" w:footer="3" w:gutter="0"/>
          <w:cols w:space="720"/>
          <w:noEndnote/>
          <w:rtlGutter w:val="0"/>
          <w:docGrid w:linePitch="360"/>
        </w:sectPr>
      </w:pPr>
    </w:p>
    <w:p>
      <w:pPr>
        <w:pStyle w:val="Style10"/>
        <w:keepNext w:val="0"/>
        <w:keepLines w:val="0"/>
        <w:widowControl w:val="0"/>
        <w:shd w:val="clear" w:color="auto" w:fill="auto"/>
        <w:bidi w:val="0"/>
        <w:spacing w:before="0" w:after="420" w:line="240" w:lineRule="auto"/>
        <w:ind w:left="0" w:right="0" w:firstLine="0"/>
        <w:jc w:val="both"/>
        <w:rPr>
          <w:sz w:val="20"/>
          <w:szCs w:val="20"/>
        </w:rPr>
      </w:pPr>
      <w:r>
        <w:rPr>
          <w:b w:val="0"/>
          <w:bCs w:val="0"/>
          <w:color w:val="000000"/>
          <w:spacing w:val="0"/>
          <w:w w:val="100"/>
          <w:position w:val="0"/>
          <w:sz w:val="20"/>
          <w:szCs w:val="20"/>
          <w:shd w:val="clear" w:color="auto" w:fill="auto"/>
          <w:lang w:val="ru-RU" w:eastAsia="ru-RU" w:bidi="ru-RU"/>
        </w:rPr>
        <w:t>Решение по делу № 028/06/106-770/2024</w:t>
      </w:r>
    </w:p>
    <w:p>
      <w:pPr>
        <w:pStyle w:val="Style16"/>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w:t>
        <w:br/>
        <w:t>по делу № 028/06/106-770/2024</w:t>
      </w:r>
    </w:p>
    <w:p>
      <w:pPr>
        <w:pStyle w:val="Style16"/>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6030595</wp:posOffset>
                </wp:positionH>
                <wp:positionV relativeFrom="paragraph">
                  <wp:posOffset>12700</wp:posOffset>
                </wp:positionV>
                <wp:extent cx="1151890" cy="234950"/>
                <wp:wrapSquare wrapText="left"/>
                <wp:docPr id="7" name="Shape 7"/>
                <a:graphic xmlns:a="http://schemas.openxmlformats.org/drawingml/2006/main">
                  <a:graphicData uri="http://schemas.microsoft.com/office/word/2010/wordprocessingShape">
                    <wps:wsp>
                      <wps:cNvSpPr txBox="1"/>
                      <wps:spPr>
                        <a:xfrm>
                          <a:ext cx="115189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Благовещенск</w:t>
                            </w:r>
                          </w:p>
                        </w:txbxContent>
                      </wps:txbx>
                      <wps:bodyPr wrap="none" lIns="0" tIns="0" rIns="0" bIns="0">
                        <a:noAutoFit/>
                      </wps:bodyPr>
                    </wps:wsp>
                  </a:graphicData>
                </a:graphic>
              </wp:anchor>
            </w:drawing>
          </mc:Choice>
          <mc:Fallback>
            <w:pict>
              <v:shape id="_x0000_s1033" type="#_x0000_t202" style="position:absolute;margin-left:474.85000000000002pt;margin-top:1.pt;width:90.700000000000003pt;height:18.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Благовещенск</w:t>
                      </w:r>
                    </w:p>
                  </w:txbxContent>
                </v:textbox>
                <w10:wrap type="square" side="left" anchorx="page"/>
              </v:shape>
            </w:pict>
          </mc:Fallback>
        </mc:AlternateContent>
      </w:r>
      <w:r>
        <w:rPr>
          <w:color w:val="000000"/>
          <w:spacing w:val="0"/>
          <w:w w:val="100"/>
          <w:position w:val="0"/>
          <w:shd w:val="clear" w:color="auto" w:fill="auto"/>
          <w:lang w:val="ru-RU" w:eastAsia="ru-RU" w:bidi="ru-RU"/>
        </w:rPr>
        <w:t>27.09.2024</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(решение в полном объеме изготовлено 02.10.2024)</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председателя Комиссии: Парнищевой М.М., заместителя руководителя управления - начальника отдела контроля закупок; членов Комиссии: Стрелковой Е.В., главного специалиста-эксперта указанного отдела, Левченко И.И., ведущего специалиста-эксперта указанного отдела, Бутковской Н.В., ведущего специалиста-эксперта указанного отдела,</w:t>
      </w:r>
    </w:p>
    <w:p>
      <w:pPr>
        <w:pStyle w:val="Style16"/>
        <w:keepNext w:val="0"/>
        <w:keepLines w:val="0"/>
        <w:widowControl w:val="0"/>
        <w:shd w:val="clear" w:color="auto" w:fill="auto"/>
        <w:bidi w:val="0"/>
        <w:spacing w:before="0" w:after="0" w:line="240" w:lineRule="auto"/>
        <w:ind w:left="0" w:right="0" w:firstLine="740"/>
        <w:jc w:val="both"/>
      </w:pPr>
      <w:r>
        <mc:AlternateContent>
          <mc:Choice Requires="wps">
            <w:drawing>
              <wp:anchor distT="0" distB="0" distL="0" distR="0" simplePos="0" relativeHeight="125829380" behindDoc="0" locked="0" layoutInCell="1" allowOverlap="1">
                <wp:simplePos x="0" y="0"/>
                <wp:positionH relativeFrom="page">
                  <wp:posOffset>5155565</wp:posOffset>
                </wp:positionH>
                <wp:positionV relativeFrom="paragraph">
                  <wp:posOffset>1130300</wp:posOffset>
                </wp:positionV>
                <wp:extent cx="2054225" cy="615950"/>
                <wp:wrapSquare wrapText="left"/>
                <wp:docPr id="9" name="Shape 9"/>
                <a:graphic xmlns:a="http://schemas.openxmlformats.org/drawingml/2006/main">
                  <a:graphicData uri="http://schemas.microsoft.com/office/word/2010/wordprocessingShape">
                    <wps:wsp>
                      <wps:cNvSpPr txBox="1"/>
                      <wps:spPr>
                        <a:xfrm>
                          <a:ext cx="2054225" cy="615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общества с ограниченной ГРУПП», Заявитель) заседания Комиссии</w:t>
                            </w:r>
                          </w:p>
                        </w:txbxContent>
                      </wps:txbx>
                      <wps:bodyPr lIns="0" tIns="0" rIns="0" bIns="0">
                        <a:noAutoFit/>
                      </wps:bodyPr>
                    </wps:wsp>
                  </a:graphicData>
                </a:graphic>
              </wp:anchor>
            </w:drawing>
          </mc:Choice>
          <mc:Fallback>
            <w:pict>
              <v:shape id="_x0000_s1035" type="#_x0000_t202" style="position:absolute;margin-left:405.94999999999999pt;margin-top:89.pt;width:161.75pt;height:48.5pt;z-index:-12582937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общества с ограниченной ГРУПП», Заявитель) заседания Комиссии</w:t>
                      </w:r>
                    </w:p>
                  </w:txbxContent>
                </v:textbox>
                <w10:wrap type="square" side="left" anchorx="page"/>
              </v:shape>
            </w:pict>
          </mc:Fallback>
        </mc:AlternateContent>
      </w:r>
      <w:r>
        <w:rPr>
          <w:color w:val="000000"/>
          <w:spacing w:val="0"/>
          <w:w w:val="100"/>
          <w:position w:val="0"/>
          <w:shd w:val="clear" w:color="auto" w:fill="auto"/>
          <w:lang w:val="ru-RU" w:eastAsia="ru-RU" w:bidi="ru-RU"/>
        </w:rPr>
        <w:t>в присутствии (посредством видеоконференцсвязи) представителей заказчика - Федерального государственного бюджетного учреждения «Управление мелиорации земель и сельскохозяйственного водоснабжения по Амурской области» (далее - Заказчик) Петровой А.В. и Строкатовой Л.Ю., действующих на основании доверенностей, выданных учреждением (лицам разъяснены права, порядок рассмотрения дела, сообщено о ведении аудио- и видеозаписи заседания Комиссии Амурского УФАС России),</w:t>
      </w:r>
    </w:p>
    <w:p>
      <w:pPr>
        <w:pStyle w:val="Style16"/>
        <w:keepNext w:val="0"/>
        <w:keepLines w:val="0"/>
        <w:widowControl w:val="0"/>
        <w:shd w:val="clear" w:color="auto" w:fill="auto"/>
        <w:bidi w:val="0"/>
        <w:spacing w:before="0" w:after="860" w:line="240" w:lineRule="auto"/>
        <w:ind w:left="0" w:right="0" w:firstLine="740"/>
        <w:jc w:val="both"/>
      </w:pPr>
      <w:r>
        <mc:AlternateContent>
          <mc:Choice Requires="wps">
            <w:drawing>
              <wp:anchor distT="0" distB="0" distL="0" distR="0" simplePos="0" relativeHeight="125829382" behindDoc="0" locked="0" layoutInCell="1" allowOverlap="1">
                <wp:simplePos x="0" y="0"/>
                <wp:positionH relativeFrom="page">
                  <wp:posOffset>699135</wp:posOffset>
                </wp:positionH>
                <wp:positionV relativeFrom="paragraph">
                  <wp:posOffset>228600</wp:posOffset>
                </wp:positionV>
                <wp:extent cx="4879975" cy="801370"/>
                <wp:wrapSquare wrapText="right"/>
                <wp:docPr id="11" name="Shape 11"/>
                <a:graphic xmlns:a="http://schemas.openxmlformats.org/drawingml/2006/main">
                  <a:graphicData uri="http://schemas.microsoft.com/office/word/2010/wordprocessingShape">
                    <wps:wsp>
                      <wps:cNvSpPr txBox="1"/>
                      <wps:spPr>
                        <a:xfrm>
                          <a:ext cx="4879975" cy="80137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ответственностью «БРОКЕР ГРУПП» (далее - ООО «БРОКЕР уведомленного надлежащим образом о времени, месте и дате Амурского УФАС России,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рассмотрела поступившую 24.09.2024 в Амурское УФАС</w:t>
                            </w:r>
                          </w:p>
                        </w:txbxContent>
                      </wps:txbx>
                      <wps:bodyPr lIns="0" tIns="0" rIns="0" bIns="0">
                        <a:noAutoFit/>
                      </wps:bodyPr>
                    </wps:wsp>
                  </a:graphicData>
                </a:graphic>
              </wp:anchor>
            </w:drawing>
          </mc:Choice>
          <mc:Fallback>
            <w:pict>
              <v:shape id="_x0000_s1037" type="#_x0000_t202" style="position:absolute;margin-left:55.050000000000004pt;margin-top:18.pt;width:384.25pt;height:63.100000000000001pt;z-index:-12582937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ответственностью «БРОКЕР ГРУПП» (далее - ООО «БРОКЕР уведомленного надлежащим образом о времени, месте и дате Амурского УФАС России,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рассмотрела поступившую 24.09.2024 в Амурское УФАС</w:t>
                      </w:r>
                    </w:p>
                  </w:txbxContent>
                </v:textbox>
                <w10:wrap type="square" side="right" anchorx="page"/>
              </v:shape>
            </w:pict>
          </mc:Fallback>
        </mc:AlternateContent>
      </w:r>
      <w:r>
        <w:rPr>
          <w:color w:val="000000"/>
          <w:spacing w:val="0"/>
          <w:w w:val="100"/>
          <w:position w:val="0"/>
          <w:shd w:val="clear" w:color="auto" w:fill="auto"/>
          <w:lang w:val="ru-RU" w:eastAsia="ru-RU" w:bidi="ru-RU"/>
        </w:rPr>
        <w:t>без участия представителя заявителя жалобы</w:t>
      </w:r>
    </w:p>
    <w:p>
      <w:pPr>
        <w:pStyle w:val="Style16"/>
        <w:keepNext w:val="0"/>
        <w:keepLines w:val="0"/>
        <w:widowControl w:val="0"/>
        <w:shd w:val="clear" w:color="auto" w:fill="auto"/>
        <w:bidi w:val="0"/>
        <w:spacing w:before="0" w:after="300" w:line="240" w:lineRule="auto"/>
        <w:ind w:left="0" w:right="0" w:firstLine="0"/>
        <w:jc w:val="both"/>
      </w:pPr>
      <w:r>
        <w:rPr>
          <w:color w:val="000000"/>
          <w:spacing w:val="0"/>
          <w:w w:val="100"/>
          <w:position w:val="0"/>
          <w:shd w:val="clear" w:color="auto" w:fill="auto"/>
          <w:lang w:val="ru-RU" w:eastAsia="ru-RU" w:bidi="ru-RU"/>
        </w:rPr>
        <w:t>России жалобу ООО «БРОКЕР ГРУПП» на действия Заказчика при осуществлении закупки способом открытого конкурса в электронной форме на право заключения контракта на выполнение ремонтно</w:t>
        <w:softHyphen/>
        <w:t>эксплуатационных работ на осушительной системе «Приамурье» Тамбовского муниципального округа Амурской области, объявленной извещением от 29.08.2024 №0323100001024000009 в Единой информационной системе в сфере закупок \у\у\у./ак11рк1.до\лт1 и на электронной площадке АГЗ РТ Ыф://еф./ака/гГ.ги, выразившиеся,</w:t>
      </w:r>
    </w:p>
    <w:p>
      <w:pPr>
        <w:pStyle w:val="Style23"/>
        <w:keepNext/>
        <w:keepLines/>
        <w:widowControl w:val="0"/>
        <w:shd w:val="clear" w:color="auto" w:fill="auto"/>
        <w:bidi w:val="0"/>
        <w:spacing w:before="0" w:after="0" w:line="240" w:lineRule="auto"/>
        <w:ind w:left="0" w:right="0" w:firstLine="0"/>
        <w:jc w:val="left"/>
        <w:rPr>
          <w:sz w:val="26"/>
          <w:szCs w:val="26"/>
        </w:rPr>
      </w:pPr>
      <w:bookmarkStart w:id="2" w:name="bookmark2"/>
      <w:r>
        <w:rPr>
          <w:color w:val="000000"/>
          <w:spacing w:val="0"/>
          <w:w w:val="100"/>
          <w:position w:val="0"/>
          <w:sz w:val="42"/>
          <w:szCs w:val="42"/>
          <w:shd w:val="clear" w:color="auto" w:fill="auto"/>
          <w:lang w:val="ru-RU" w:eastAsia="ru-RU" w:bidi="ru-RU"/>
        </w:rPr>
        <w:t>1111111111111111111111111</w:t>
      </w:r>
      <w:bookmarkEnd w:id="2"/>
      <w:r>
        <w:rPr>
          <w:color w:val="000000"/>
          <w:spacing w:val="0"/>
          <w:w w:val="100"/>
          <w:position w:val="0"/>
          <w:sz w:val="42"/>
          <w:szCs w:val="42"/>
          <w:shd w:val="clear" w:color="auto" w:fill="auto"/>
          <w:lang w:val="ru-RU" w:eastAsia="ru-RU" w:bidi="ru-RU"/>
        </w:rPr>
        <w:t xml:space="preserve"> </w:t>
      </w:r>
      <w:r>
        <w:rPr>
          <w:rStyle w:val="CharStyle17"/>
        </w:rPr>
        <w:t>по мнению заявителя, в нарушении положений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 в установлении в извещении неоднозначных требований в отношении оценки заявок на участие в закупке.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Заказчика на заседании Комиссии Амурского УФАС России 27.09.2024 с доводами жалобы не согласились, поддержали письменные пояснения, представленные в материалы дела, считают, что требования, предъявленные к документам для оценки показателя - наличие у участников закупки опыта работы, Заказчиком установлены в извещении четко и понятно. Просили жалобу признать необоснованной.</w:t>
      </w:r>
    </w:p>
    <w:p>
      <w:pPr>
        <w:pStyle w:val="Style1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исследовав материалы дела, заслушав представителей Заказчика,</w:t>
      </w: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29.08.2024 Заказчиком в Единой информационной системе в сфере закупок \у\у\у./акирк1.доу.ги и на электронной площадке АГЗ РТ 11ир://е1р./ака/1Т.ги опубликовано извещение №0323100001024000009 о проведении закупки способом открытого конкурса в электронной форме на право заключения контракта на выполнение ремонтно- эксплутационных работ на осушительной системе "Приамурье", Тамбовского муниципального округа, Амурской области.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- 4 056 147,68 рублей. Дата и время окончания срока подачи заявок - 23.09.2024 09:00 (МСК+6). Дата окончания срока рассмотрения и оценки вторых частей заявок - 24.09.2024. Дата подведения итогов определения поставщика (подрядчика, исполнителя) - 24.09.2024.</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23.09.2024 № 0323100001024000009, в соответствии с пунктом 1 части 1 статьи 52 Закона №44-ФЗ электронный конкурс признается несостоявшимся в связи с тем, что по окончании срока подачи заявок подана только одна заявка на участие в закупке. Комиссией по осуществлению закупок рассмотрена единственная поданная заявка участника закупки, а также предусмотренные пунктами 2 и 3 части 6 статьи 43 Закона №44-ФЗ информация и документы, на предмет соответствия требованиям извещения и принято решение о соответствии заявки.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r>
        <w:rPr>
          <w:i/>
          <w:iCs/>
          <w:color w:val="000000"/>
          <w:spacing w:val="0"/>
          <w:w w:val="100"/>
          <w:position w:val="0"/>
          <w:shd w:val="clear" w:color="auto" w:fill="auto"/>
          <w:lang w:val="ru-RU" w:eastAsia="ru-RU" w:bidi="ru-RU"/>
        </w:rPr>
        <w:t>.</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части 1 статьи 24 Закона о контрактной системе заказчики при осуществлении закупок применяют конкурентные способы определения поставщиков </w:t>
      </w:r>
      <w:r>
        <w:rPr>
          <w:color w:val="000000"/>
          <w:spacing w:val="0"/>
          <w:w w:val="100"/>
          <w:position w:val="0"/>
          <w:shd w:val="clear" w:color="auto" w:fill="auto"/>
          <w:lang w:val="ru-RU" w:eastAsia="ru-RU" w:bidi="ru-RU"/>
        </w:rPr>
        <w:t>(подрядчиков,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определения поставщиков являются, в том числе конкурсы (открытый конкурс в электронной форме, закрытый конкурс, закрытый конкурс в электронной форме (часть 2 статьи 24 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 указанием порядка рассмотрения и оценки заявок на участие в конкурсах в соответствии с настоящим Федеральным законом.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32 Закона о контрактной системе предусмотрено, что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9 статьи 32 Закона о контрактной системе установлено, что не допускается использование заказчиком не предусмотренных настоящей статьей критериев или их величин значимости, установленных частью 6 настоящей статьи и в соответствии с частью 8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развитие данной нормы издано Постановление Правительства Российской Федерации от 31.12.2021 № 2604, которым утверждено Положение об оценке заявок на участие в закупке товаров, работ, услуг для обеспечения государственных и муниципальных нужд (далее - Положение № 2604).</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24 Положения № 2604,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 а) наличие у участников закупки финансовых ресурсов; б) наличие у участников закупки на праве собственности или ином законном основании оборудования и других материальных ресурсов; в) наличие у участников закупки опыта поставки товара, выполнения работы, оказания услуги, связанного с предметом контракта; г) наличие у участников закупки деловой репутации; д) наличие у участников закупки специалистов и иных работников определенного уровня квалификации.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пункта 25 Положения № 2604 для оценки заявок по показателям оценки, предусмотренным пунктом 24 настоящего Положения, применяются детализирующие показатели.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пунктом 28 Положения № 2604 в случае применения показателя оценки, предусмотренного подпунктом "в" пункта 24 настоящего Положения: а) применяются один или несколько из следующих детализирующих показателей оценки: 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 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 в) документом, предусмотренным приложением ^ 1 к настоящему Положению: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 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 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w:t>
      </w:r>
      <w:r>
        <w:rPr>
          <w:color w:val="000000"/>
          <w:spacing w:val="0"/>
          <w:w w:val="100"/>
          <w:position w:val="0"/>
          <w:shd w:val="clear" w:color="auto" w:fill="auto"/>
          <w:lang w:val="ru-RU" w:eastAsia="ru-RU" w:bidi="ru-RU"/>
        </w:rPr>
        <w:t>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Предметом рассматриваемой закупки является выполнение ремонтно</w:t>
        <w:softHyphen/>
        <w:t>эксплуатационных работ на осушительной системе "Приамурье", Тамбовского муниципального округа, Амурской области.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выбран следующий объект закупки № 0323100001024000009: код позиции 42.21.23.000: работы строительные по строительству оросительных систем (каналов), водоводов и водоводных конструкций, водоочистных станций, станций очистки сточных вод и насосных станций.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№0323100001024000009 установлены следующие критерии оценки заявок участников: цена контракта, сумма цен единиц товара, работы, услуги - 60,00 %;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- 40,00 %.</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Порядок рассмотрения и оценки заявок участников конкурса Заказчиком указан в приложении к извещению № 0323100001024000009. Так, Заказчиком установлены следующие требования к документам для оценки показателя - наличие у участников закупки опыта работы, связанного с предметом контракта: «К оценке принимается исключительно исполненные договоры, предусматривающие выполнение работ по строительству, реконструкции объектов капитального строительства,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соответствии с требованиями пункта 1 настоящей графы) (далее - Перечень): - исполненные договоры; - акты приемки поставленного товара, выполненных работ, оказанных услуг, составленные при исполнении таких договоров; - копии разрешений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Последний акт, составленный при исполнении договора и предусмотренный Перечнем, должен быть подписан не ранее чем за 5 лет до даты окончания срока подачи заявок.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 44-ФЗ.».</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составу и организации работ по поддержанию мелиоративных систем и гидротехнических сооружений в исправном работоспособном состоянии, а также необходимые к проведению мероприятия для предотвращения отрицательного воздействия гидромелиорации на окружающую природную среду и паспортизации мелиоративных систем, регламентируются в том числе, ГОСТ Р 58376-2022, Национальный стандарт Российской Федерации. Мелиоративные системы и гидротехнические сооружения. Эксплуатация. Общие требования", утвержденным и введенным в действие Приказом Росстандарта от 29.12.2022 № 1710-ст, далее - ГОСТ Р 58376-2022.</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раздела 1 ГОСТ Р 58376-2022 следует, что Настоящий стандарт распространяется на мелиоративные системы, их составные части, элементы, гидротехнические сооружения (ГТС) организаций мелиоративного комплекса и сельскохозяйственных производителей, независимо от их организационно-правовых форм собственности. Настоящий стандарт устанавливает требования, рекомендуемые для исполнения собственниками и эксплуатирующими организациями мелиоративных систем, их составных частей, элементов и ГТС при вводе в эксплуатацию, эксплуатации, ремонте, реконструкции, техническом перевооружении, консервации объектов мелиоративного комплекса. При эксплуатации мелиоративных систем, их составных частей, элементов и ГТС наряду с настоящим стандартом соблюдают действующие общие правила безопасности, санитарные правила, правила и инструкции по безопасности труда, противопожарной безопасности и промышленной санитарии, а также требования проектов, учитывающие особенности конкретных объектов мелиоративного комплекса и ГТС.</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3.7 ГОСТ Р 58376-2022 установлено, что мелиорация земель - это коренное улучшение земель путем проведения гидротехнических, культуртехнических, химических, противоэрозионных, агролесомелиоративных, агротехнических и других мелиоративных мероприятий и работ с учетом охраны окружающей среды.</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3.9 ГОСТ Р 58376-2022 надлежащее (нормативное) техническое состояние мелиоративных объектов: Поддержание параметров устойчивости, надежности мелиоративных систем и гидротехнических сооружений, а также исправность строительных конструкций, сетей и систем инженерно-технического обеспечения в соответствии с требованиями технических регламентов и проектной документации.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пункта 3.11 ГОСТ Р 58376-2022, гидротехнические сооружения -это инженерные сооружения и устройства, обеспечивающие регулирование, подъем, подачу, распределение воды потребителям, отвод вод, защиту почв от водной эрозии, противоселевую и противооползневую защиту.</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5.4.1 ГОСТ Р 58376-2022, основными задачами эксплуатации осушительных систем являются: ликвидация избыточной увлажненности, создание и постоянное поддержание в корнеобитаемом слое почвы оптимального водно</w:t>
        <w:softHyphen/>
        <w:t>воздушного режима, необходимого для получения высоких и устойчивых урожаев сельскохозяйственных культур; создание и поддержание на осушенных землях условий для производительного использования сельскохозяйственной техники и транспортных средств; обеспечение безопасной и безаварийной работы; охрана и содержание в исправном (работоспособном) состоянии всех элементов осушительной системы; проведение учета осушенных земель, контроля за мелиоративным состоянием осушенных земель и техническим состоянием осушительных систем и водоприемников; поддержание надежности осушительных систем на уровне, достаточном для выполнения ими заданных функций; улучшение технического состояния и совершенствование осушительных систем.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5.4.4 ГОСТ Р 58376-2022 определено, что эксплуатацию и ремонт, осушительных систем, их составных частей и элементов (осушительные каналы, сооружения, оградительные валы и дамбы, водоприемники, эксплуатационные дороги и линии связи) осуществляют эксплуатирующая организация и (или) собственник осушительных систем, их составных частей и элементов.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6.4.1 ГОСТ Р 58376-2022 поддержание или восстановление первоначальных эксплуатационных качеств мелиоративной системы в целом, отдельных ее конструктивных элементов и частей осуществляют путем проведения комплекса </w:t>
      </w:r>
      <w:r>
        <w:rPr>
          <w:color w:val="000000"/>
          <w:spacing w:val="0"/>
          <w:w w:val="100"/>
          <w:position w:val="0"/>
          <w:shd w:val="clear" w:color="auto" w:fill="auto"/>
          <w:lang w:val="ru-RU" w:eastAsia="ru-RU" w:bidi="ru-RU"/>
        </w:rPr>
        <w:t>технических мероприятий по ремонту системы.</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6.4.4 ГОСТ Р 58376-2022 к капитальным ремонтным работам мелиоративных объектов относят работы по замене и (или) восстановлению строительных конструкций объектов или элементов таких конструкций, за исключением несущих строительных конструкций, замене и (или) восстановлению систем инженерно</w:t>
        <w:softHyphen/>
        <w:t>технического обеспечения и сетей инженерно-технического обеспечения объектов или их элементов, а также замене отдельных элементов несущих строительных конструкций на аналогичные или другие улучшающие показатели таких конструкций элементы и (или) восстановлению указанных элементов.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6.4.5 ГОСТ Р 58376-2022 установлено, что к капитальным ремонтным работам линейных объектов относят работы по изменению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данных объектов и при котором не требуется изменение границ полос отвода и (или) охранных зон таких объектов.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6.4.6 ГОСТ Р 58376-2022 к работам по реконструкции мелиоративных объектов относятся работы по изменению параметров объекта, его частей, в том числе по надстройке, перестройке, расширению объекта, а также по замене и (или) восстановлению несущих строительных конструкций объекта, за исключением замены отдельных элементов таких конструкций на аналогичные или другие улучшающие показатели таких конструкций элементы и (или) восстановления указанных элементов.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6.4.7 ГОСТ Р 58376-2022 определено, что к работам по реконструкции линейных объектов относятся работы по изменению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Приказом Минстроя России от 24.12.2018 ^ 854/пр утвержден свод правил "Мелиоративные системы и сооружения. Правила эксплуатации" (далее - Свод №854/пр).</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7.1 Свода №854/пр ремонт мелиоративных объектов состоит в проведении комплекса технических мероприятий по поддержанию или восстановлению первоначальных эксплуатационных качеств мелиоративной системы в целом или ее отдельных элементов. На мелиоративных объектах выполняют следующие виды ремонтов: текущий; капитальный; аварийный.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7.10.1 Свода №854/пр к капитальному ремонту относятся работы, при проведении которых полностью или частично восстанавливаются отдельные сооружения, их конструктивные элементы и части, осуществляется замена их на более прочные и экономичные (приложение 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Приложением А Свода №854/пр определен состав работ при текущем и капитальном ремонтах, из которого следует, что в состав работ, помимо прочих, при капитальном ремонте мелиоративных объектов, в частности, на осушительном сооружении входит изменение трассы каналов на отдельных участках. Уменьшение уклонов путем устройства перепадов в местах размыва каналов. Устройство перепадов или быстротоков в устьях каналов, где наблюдается размыв более крупных каналов. Замена креплений в нижней части канала на более долговечные (бетонные плиты, забранные за сваи) или облицовка откосов плитами из пористого бетона. Замена временных сооружений на сооружения из долговечных материалов. Укрепление внутреннего берега (откоса) или увеличение радиуса </w:t>
      </w:r>
      <w:r>
        <w:rPr>
          <w:color w:val="000000"/>
          <w:spacing w:val="0"/>
          <w:w w:val="100"/>
          <w:position w:val="0"/>
          <w:shd w:val="clear" w:color="auto" w:fill="auto"/>
          <w:lang w:val="ru-RU" w:eastAsia="ru-RU" w:bidi="ru-RU"/>
        </w:rPr>
        <w:t>закругления в случае размыва. Устройство дополнительных пешеходных мостиков и скотопрогонов-водопоев (Таб. А2).</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техническом задании закупки №0323100001024000009 Заказчиком определены виды и объемы выполняемых работ, в числе которых расчистка канала, предусматривающая расчистку площадей от кустарника и мелколесья вручную: при средней поросли, срезку кустарника и мелколесья в торфяных и переувлажненных грунтах кусторезами на тракторе, кустарник и мелколесье густые; сгребание срезанного или выкорчеванного кустарника и мелколесья корчевателями-собирателями на тракторе; корчевка корней срезанного кустарника и мелколесья корчевальной бороной на тракторе; устройство каналов, дамб обвалования одноковшовыми экскаваторами с ковшом; разравнивание кавальеров (отвалов) при перемещении грунта до 10 м бульдозерами; разработка грунта в отвал экскаваторами; разравнивание кавальеров (отвалов) при перемещении грунта до 10 м бульдозерами; планировка откосов выемок и насыпей экскаваторами.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руководствуясь вышеперечисленными нормативными правовыми актами, проанализировав предмет закупки №0323100001024000009, учитывая пояснения Заказчика приходит к выводу, что выполнение ремонтно-эксплуатационных работ на осушительной системе «Приамурье» Тамбовского муниципального округа Амурской области фактически относится к капитальному ремонту.</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вышеизложенное, порядок оценки участников закупки Заказчиком применен в соответствии с требованиями Закона о контрактной системе и Постановления № 2604, сопоставим с предметом рассматриваемой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Установленные критерии оценки заявок не препятствуют участию в рассматриваемом конкурсе, не создают преимущества конкретному участнику закупки и не ограничивают конкуренцию, поскольку предусматривают возможность участникам конкурса конкурировать по всем установленным Заказчиками критериям.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препятствий для подачи заявки на участие в закупке у Заявителя не имелось.</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105 Закона о контрактной системе при проведении конкурентных способов, при осуществлении закупки товара у единственного поставщика в электронной форме на сумму, предусмотренную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части 4 статьи 106 Закона о контрактной системе в сфере закупок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Каких-либо доказательств, свидетельствующих о том, что положения извещения об осуществлении открытого конкурса в электронной форме №0323100001024000009 нарушили права и законные интересы общества, привели к нарушению принципов</w:t>
        <w:br w:type="page"/>
      </w:r>
      <w:r>
        <w:rPr>
          <w:color w:val="000000"/>
          <w:spacing w:val="0"/>
          <w:w w:val="100"/>
          <w:position w:val="0"/>
          <w:shd w:val="clear" w:color="auto" w:fill="auto"/>
          <w:lang w:val="ru-RU" w:eastAsia="ru-RU" w:bidi="ru-RU"/>
        </w:rPr>
        <w:t>проведения закупок товаров, работ и услуг, а также ограничили количество участников закупки, Заявителем не представлено.</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изложенное, на основании имеющихся в деле материалов Комиссия Амурского УФАС России не находит оснований для признания жалобы обоснованной.</w:t>
      </w:r>
    </w:p>
    <w:p>
      <w:pPr>
        <w:pStyle w:val="Style16"/>
        <w:keepNext w:val="0"/>
        <w:keepLines w:val="0"/>
        <w:widowControl w:val="0"/>
        <w:shd w:val="clear" w:color="auto" w:fill="auto"/>
        <w:tabs>
          <w:tab w:pos="573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жалобу ООО «БРОКЕР ГРУПП» на действия Заказчика при осуществлении закупки способом открытого конкурса в электронной форме на право заключения контракта на выполнение ремонтно-эксплуатационных работ на осушительной системе «Приамурье» Тамбовского муниципального округа Амурской области, объявленной извещением от 29.08.2024</w:t>
        <w:tab/>
        <w:t>№0323100001024000009 в Единой</w:t>
      </w:r>
    </w:p>
    <w:p>
      <w:pPr>
        <w:pStyle w:val="Style16"/>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информационной системе в сфере закупок \у\у\у./акирк1.доу.1Т1 и на электронной площадке АГЗ РТ Ыф://еф./ака/гТги, руководствуясь пунктом 1 части 3, части 15 статьи 99, части 8 статьи 106 Закона о контрактной системе, Комиссия Амурского УФАС России приняла</w:t>
      </w: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w:t>
      </w:r>
    </w:p>
    <w:p>
      <w:pPr>
        <w:pStyle w:val="Style1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Признать жалобу общества с ограниченной ответственностью «БРОКЕР ГРУПП» необоснованной.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Комиссии антимонопольного органа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771" w:right="535" w:bottom="709" w:left="1098" w:header="0" w:footer="3" w:gutter="0"/>
          <w:cols w:space="720"/>
          <w:noEndnote/>
          <w:rtlGutter w:val="0"/>
          <w:docGrid w:linePitch="360"/>
        </w:sectPr>
      </w:pPr>
      <w:r>
        <mc:AlternateContent>
          <mc:Choice Requires="wps">
            <w:drawing>
              <wp:anchor distT="114300" distB="219075" distL="0" distR="0" simplePos="0" relativeHeight="125829384" behindDoc="0" locked="0" layoutInCell="1" allowOverlap="1">
                <wp:simplePos x="0" y="0"/>
                <wp:positionH relativeFrom="page">
                  <wp:posOffset>738505</wp:posOffset>
                </wp:positionH>
                <wp:positionV relativeFrom="paragraph">
                  <wp:posOffset>114300</wp:posOffset>
                </wp:positionV>
                <wp:extent cx="1700530" cy="234950"/>
                <wp:wrapTopAndBottom/>
                <wp:docPr id="13" name="Shape 13"/>
                <a:graphic xmlns:a="http://schemas.openxmlformats.org/drawingml/2006/main">
                  <a:graphicData uri="http://schemas.microsoft.com/office/word/2010/wordprocessingShape">
                    <wps:wsp>
                      <wps:cNvSpPr txBox="1"/>
                      <wps:spPr>
                        <a:xfrm>
                          <a:ext cx="170053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149999999999999pt;margin-top:9.pt;width:133.90000000000001pt;height:18.5pt;z-index:-125829369;mso-wrap-distance-left:0;mso-wrap-distance-top:9.pt;mso-wrap-distance-right:0;mso-wrap-distance-bottom:17.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205740" distB="0" distL="0" distR="1804670" simplePos="0" relativeHeight="125829386" behindDoc="0" locked="0" layoutInCell="1" allowOverlap="1">
            <wp:simplePos x="0" y="0"/>
            <wp:positionH relativeFrom="page">
              <wp:posOffset>2680335</wp:posOffset>
            </wp:positionH>
            <wp:positionV relativeFrom="paragraph">
              <wp:posOffset>205740</wp:posOffset>
            </wp:positionV>
            <wp:extent cx="311150" cy="36576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275590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2.pt;margin-top:21.699999999999999pt;width:135.59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114300" distB="219075" distL="0" distR="0" simplePos="0" relativeHeight="125829387" behindDoc="0" locked="0" layoutInCell="1" allowOverlap="1">
                <wp:simplePos x="0" y="0"/>
                <wp:positionH relativeFrom="page">
                  <wp:posOffset>5920105</wp:posOffset>
                </wp:positionH>
                <wp:positionV relativeFrom="paragraph">
                  <wp:posOffset>114300</wp:posOffset>
                </wp:positionV>
                <wp:extent cx="1252855" cy="234950"/>
                <wp:wrapTopAndBottom/>
                <wp:docPr id="19" name="Shape 19"/>
                <a:graphic xmlns:a="http://schemas.openxmlformats.org/drawingml/2006/main">
                  <a:graphicData uri="http://schemas.microsoft.com/office/word/2010/wordprocessingShape">
                    <wps:wsp>
                      <wps:cNvSpPr txBox="1"/>
                      <wps:spPr>
                        <a:xfrm>
                          <a:ext cx="125285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М.М. Парнищева</w:t>
                            </w:r>
                          </w:p>
                        </w:txbxContent>
                      </wps:txbx>
                      <wps:bodyPr wrap="none" lIns="0" tIns="0" rIns="0" bIns="0">
                        <a:noAutoFit/>
                      </wps:bodyPr>
                    </wps:wsp>
                  </a:graphicData>
                </a:graphic>
              </wp:anchor>
            </w:drawing>
          </mc:Choice>
          <mc:Fallback>
            <w:pict>
              <v:shape id="_x0000_s1045" type="#_x0000_t202" style="position:absolute;margin-left:466.15000000000003pt;margin-top:9.pt;width:98.650000000000006pt;height:18.5pt;z-index:-125829366;mso-wrap-distance-left:0;mso-wrap-distance-top:9.pt;mso-wrap-distance-right:0;mso-wrap-distance-bottom:17.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М.М. Парнищева</w:t>
                      </w:r>
                    </w:p>
                  </w:txbxContent>
                </v:textbox>
                <w10:wrap type="topAndBottom" anchorx="page"/>
              </v:shape>
            </w:pict>
          </mc:Fallback>
        </mc:AlternateContent>
      </w:r>
    </w:p>
    <w:p>
      <w:pPr>
        <w:pStyle w:val="Style28"/>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212121"/>
          <w:spacing w:val="0"/>
          <w:w w:val="100"/>
          <w:position w:val="0"/>
          <w:sz w:val="12"/>
          <w:szCs w:val="12"/>
          <w:shd w:val="clear" w:color="auto" w:fill="auto"/>
          <w:lang w:val="ru-RU" w:eastAsia="ru-RU" w:bidi="ru-RU"/>
        </w:rPr>
        <w:t xml:space="preserve">Кому </w:t>
      </w:r>
      <w:r>
        <w:rPr>
          <w:color w:val="656565"/>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Парнищева Марина Михайловна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12121"/>
          <w:spacing w:val="0"/>
          <w:w w:val="100"/>
          <w:position w:val="0"/>
          <w:shd w:val="clear" w:color="auto" w:fill="auto"/>
          <w:lang w:val="ru-RU" w:eastAsia="ru-RU" w:bidi="ru-RU"/>
        </w:rPr>
        <w:t>78С8СЕА2ВЕ2658А4665639ОЕА268ЭВ2С</w:t>
      </w:r>
    </w:p>
    <w:p>
      <w:pPr>
        <w:pStyle w:val="Style30"/>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12.08.2024 </w:t>
      </w:r>
      <w:r>
        <w:rPr>
          <w:color w:val="000000"/>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05.11.2025</w:t>
      </w:r>
    </w:p>
    <w:p>
      <w:pPr>
        <w:widowControl w:val="0"/>
        <w:spacing w:line="1" w:lineRule="exact"/>
        <w:sectPr>
          <w:footnotePr>
            <w:pos w:val="pageBottom"/>
            <w:numFmt w:val="decimal"/>
            <w:numRestart w:val="continuous"/>
          </w:footnotePr>
          <w:type w:val="continuous"/>
          <w:pgSz w:w="11900" w:h="16840"/>
          <w:pgMar w:top="1599" w:right="541" w:bottom="2631" w:left="1106" w:header="0" w:footer="3" w:gutter="0"/>
          <w:cols w:space="720"/>
          <w:noEndnote/>
          <w:rtlGutter w:val="0"/>
          <w:docGrid w:linePitch="360"/>
        </w:sectPr>
      </w:pPr>
      <w:r>
        <mc:AlternateContent>
          <mc:Choice Requires="wps">
            <w:drawing>
              <wp:anchor distT="25400" distB="374650" distL="0" distR="0" simplePos="0" relativeHeight="125829389" behindDoc="0" locked="0" layoutInCell="1" allowOverlap="1">
                <wp:simplePos x="0" y="0"/>
                <wp:positionH relativeFrom="page">
                  <wp:posOffset>735330</wp:posOffset>
                </wp:positionH>
                <wp:positionV relativeFrom="paragraph">
                  <wp:posOffset>25400</wp:posOffset>
                </wp:positionV>
                <wp:extent cx="1246505" cy="231775"/>
                <wp:wrapTopAndBottom/>
                <wp:docPr id="21" name="Shape 21"/>
                <a:graphic xmlns:a="http://schemas.openxmlformats.org/drawingml/2006/main">
                  <a:graphicData uri="http://schemas.microsoft.com/office/word/2010/wordprocessingShape">
                    <wps:wsp>
                      <wps:cNvSpPr txBox="1"/>
                      <wps:spPr>
                        <a:xfrm>
                          <a:ext cx="1246505" cy="23177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7" type="#_x0000_t202" style="position:absolute;margin-left:57.899999999999999pt;margin-top:2.pt;width:98.150000000000006pt;height:18.25pt;z-index:-125829364;mso-wrap-distance-left:0;mso-wrap-distance-top:2.pt;mso-wrap-distance-right:0;mso-wrap-distance-bottom:29.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95250" distB="0" distL="0" distR="1786255" simplePos="0" relativeHeight="125829391" behindDoc="0" locked="0" layoutInCell="1" allowOverlap="1">
            <wp:simplePos x="0" y="0"/>
            <wp:positionH relativeFrom="page">
              <wp:posOffset>2658745</wp:posOffset>
            </wp:positionH>
            <wp:positionV relativeFrom="paragraph">
              <wp:posOffset>95250</wp:posOffset>
            </wp:positionV>
            <wp:extent cx="353695" cy="5365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3115945</wp:posOffset>
                </wp:positionH>
                <wp:positionV relativeFrom="paragraph">
                  <wp:posOffset>497840</wp:posOffset>
                </wp:positionV>
                <wp:extent cx="1283335" cy="103505"/>
                <wp:wrapNone/>
                <wp:docPr id="25" name="Shape 2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34999999999999pt;margin-top:39.200000000000003pt;width:101.05pt;height:8.15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3073400</wp:posOffset>
                </wp:positionH>
                <wp:positionV relativeFrom="paragraph">
                  <wp:posOffset>186690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3" type="#_x0000_t202" style="position:absolute;margin-left:242.pt;margin-top:14.700000000000001pt;width:135.59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25400" distB="374650" distL="0" distR="0" simplePos="0" relativeHeight="125829392" behindDoc="0" locked="0" layoutInCell="1" allowOverlap="1">
                <wp:simplePos x="0" y="0"/>
                <wp:positionH relativeFrom="page">
                  <wp:posOffset>6084570</wp:posOffset>
                </wp:positionH>
                <wp:positionV relativeFrom="paragraph">
                  <wp:posOffset>25400</wp:posOffset>
                </wp:positionV>
                <wp:extent cx="1090930" cy="231775"/>
                <wp:wrapTopAndBottom/>
                <wp:docPr id="29" name="Shape 29"/>
                <a:graphic xmlns:a="http://schemas.openxmlformats.org/drawingml/2006/main">
                  <a:graphicData uri="http://schemas.microsoft.com/office/word/2010/wordprocessingShape">
                    <wps:wsp>
                      <wps:cNvSpPr txBox="1"/>
                      <wps:spPr>
                        <a:xfrm>
                          <a:ext cx="1090930" cy="23177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Стрелкова</w:t>
                            </w:r>
                          </w:p>
                        </w:txbxContent>
                      </wps:txbx>
                      <wps:bodyPr wrap="none" lIns="0" tIns="0" rIns="0" bIns="0">
                        <a:noAutoFit/>
                      </wps:bodyPr>
                    </wps:wsp>
                  </a:graphicData>
                </a:graphic>
              </wp:anchor>
            </w:drawing>
          </mc:Choice>
          <mc:Fallback>
            <w:pict>
              <v:shape id="_x0000_s1055" type="#_x0000_t202" style="position:absolute;margin-left:479.10000000000002pt;margin-top:2.pt;width:85.900000000000006pt;height:18.25pt;z-index:-125829361;mso-wrap-distance-left:0;mso-wrap-distance-top:2.pt;mso-wrap-distance-right:0;mso-wrap-distance-bottom:29.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Стрелкова</w:t>
                      </w:r>
                    </w:p>
                  </w:txbxContent>
                </v:textbox>
                <w10:wrap type="topAndBottom" anchorx="page"/>
              </v:shape>
            </w:pict>
          </mc:Fallback>
        </mc:AlternateContent>
      </w:r>
    </w:p>
    <w:p>
      <w:pPr>
        <w:pStyle w:val="Style30"/>
        <w:keepNext w:val="0"/>
        <w:keepLines w:val="0"/>
        <w:widowControl w:val="0"/>
        <w:shd w:val="clear" w:color="auto" w:fill="auto"/>
        <w:bidi w:val="0"/>
        <w:spacing w:before="0" w:after="0" w:line="266" w:lineRule="auto"/>
        <w:ind w:right="0" w:firstLine="0"/>
        <w:jc w:val="left"/>
      </w:pPr>
      <w:r>
        <w:rPr>
          <w:color w:val="000000"/>
          <w:spacing w:val="0"/>
          <w:w w:val="100"/>
          <w:position w:val="0"/>
          <w:shd w:val="clear" w:color="auto" w:fill="auto"/>
          <w:lang w:val="ru-RU" w:eastAsia="ru-RU" w:bidi="ru-RU"/>
        </w:rPr>
        <w:t xml:space="preserve">Кому </w:t>
      </w:r>
      <w:r>
        <w:rPr>
          <w:color w:val="656565"/>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Стрелкова Елизавета Викторовна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56565"/>
          <w:spacing w:val="0"/>
          <w:w w:val="100"/>
          <w:position w:val="0"/>
          <w:shd w:val="clear" w:color="auto" w:fill="auto"/>
          <w:lang w:val="ru-RU" w:eastAsia="ru-RU" w:bidi="ru-RU"/>
        </w:rPr>
        <w:t>5ЕС860Е482А17Е0С86Е8СС6991</w:t>
      </w:r>
      <w:r>
        <w:rPr>
          <w:color w:val="000000"/>
          <w:spacing w:val="0"/>
          <w:w w:val="100"/>
          <w:position w:val="0"/>
          <w:shd w:val="clear" w:color="auto" w:fill="auto"/>
          <w:lang w:val="ru-RU" w:eastAsia="ru-RU" w:bidi="ru-RU"/>
        </w:rPr>
        <w:t>СЗА2Е1</w:t>
      </w:r>
    </w:p>
    <w:p>
      <w:pPr>
        <w:pStyle w:val="Style30"/>
        <w:keepNext w:val="0"/>
        <w:keepLines w:val="0"/>
        <w:widowControl w:val="0"/>
        <w:shd w:val="clear" w:color="auto" w:fill="auto"/>
        <w:bidi w:val="0"/>
        <w:spacing w:before="0" w:after="160" w:line="266" w:lineRule="auto"/>
        <w:ind w:right="0" w:firstLine="0"/>
        <w:jc w:val="left"/>
      </w:pPr>
      <w:r>
        <w:rPr>
          <w:color w:val="656565"/>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04.10.2023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27.12.2024</w:t>
      </w:r>
    </w:p>
    <w:p>
      <w:pPr>
        <w:pStyle w:val="Style16"/>
        <w:keepNext w:val="0"/>
        <w:keepLines w:val="0"/>
        <w:widowControl w:val="0"/>
        <w:shd w:val="clear" w:color="auto" w:fill="auto"/>
        <w:bidi w:val="0"/>
        <w:spacing w:before="0" w:after="660" w:line="240" w:lineRule="auto"/>
        <w:ind w:left="1740" w:right="0" w:firstLine="0"/>
        <w:jc w:val="left"/>
      </w:pPr>
      <w:r>
        <w:drawing>
          <wp:anchor distT="0" distB="0" distL="114300" distR="1900555" simplePos="0" relativeHeight="125829394" behindDoc="0" locked="0" layoutInCell="1" allowOverlap="1">
            <wp:simplePos x="0" y="0"/>
            <wp:positionH relativeFrom="page">
              <wp:posOffset>2658745</wp:posOffset>
            </wp:positionH>
            <wp:positionV relativeFrom="paragraph">
              <wp:posOffset>63500</wp:posOffset>
            </wp:positionV>
            <wp:extent cx="353695" cy="53657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3115945</wp:posOffset>
                </wp:positionH>
                <wp:positionV relativeFrom="paragraph">
                  <wp:posOffset>462915</wp:posOffset>
                </wp:positionV>
                <wp:extent cx="1286510" cy="103505"/>
                <wp:wrapNone/>
                <wp:docPr id="33" name="Shape 33"/>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45.34999999999999pt;margin-top:36.450000000000003pt;width:101.3pt;height:8.1500000000000004pt;z-index:251657735;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3073400</wp:posOffset>
                </wp:positionH>
                <wp:positionV relativeFrom="paragraph">
                  <wp:posOffset>151765</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42.pt;margin-top:11.950000000000001pt;width:135.59999999999999pt;height:20.15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Н.В. Бутковская</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212121"/>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Бутковская Надежда Васильевна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12121"/>
          <w:spacing w:val="0"/>
          <w:w w:val="100"/>
          <w:position w:val="0"/>
          <w:shd w:val="clear" w:color="auto" w:fill="auto"/>
          <w:lang w:val="ru-RU" w:eastAsia="ru-RU" w:bidi="ru-RU"/>
        </w:rPr>
        <w:t>00ЕААЕО3840О277СЕ84050АЕ8СЗАЕ355Е</w:t>
      </w:r>
      <w:r>
        <w:rPr>
          <w:color w:val="212121"/>
          <w:spacing w:val="0"/>
          <w:w w:val="100"/>
          <w:position w:val="0"/>
          <w:shd w:val="clear" w:color="auto" w:fill="auto"/>
          <w:lang w:val="ru-RU" w:eastAsia="ru-RU" w:bidi="ru-RU"/>
        </w:rPr>
        <w:t>С</w:t>
      </w:r>
    </w:p>
    <w:p>
      <w:pPr>
        <w:pStyle w:val="Style30"/>
        <w:keepNext w:val="0"/>
        <w:keepLines w:val="0"/>
        <w:widowControl w:val="0"/>
        <w:shd w:val="clear" w:color="auto" w:fill="auto"/>
        <w:bidi w:val="0"/>
        <w:spacing w:before="0" w:after="160" w:line="240" w:lineRule="auto"/>
        <w:ind w:right="0" w:firstLine="0"/>
        <w:jc w:val="left"/>
      </w:pPr>
      <w:r>
        <w:rPr>
          <w:color w:val="7D7D7D"/>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03.06.2024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27.08.2025</w:t>
      </w:r>
    </w:p>
    <w:p>
      <w:pPr>
        <w:pStyle w:val="Style16"/>
        <w:keepNext w:val="0"/>
        <w:keepLines w:val="0"/>
        <w:widowControl w:val="0"/>
        <w:shd w:val="clear" w:color="auto" w:fill="auto"/>
        <w:bidi w:val="0"/>
        <w:spacing w:before="0" w:after="660" w:line="240" w:lineRule="auto"/>
        <w:ind w:left="1940" w:right="0" w:firstLine="0"/>
        <w:jc w:val="left"/>
      </w:pPr>
      <w:r>
        <w:drawing>
          <wp:anchor distT="0" distB="0" distL="114300" distR="1900555" simplePos="0" relativeHeight="125829395" behindDoc="0" locked="0" layoutInCell="1" allowOverlap="1">
            <wp:simplePos x="0" y="0"/>
            <wp:positionH relativeFrom="page">
              <wp:posOffset>2658745</wp:posOffset>
            </wp:positionH>
            <wp:positionV relativeFrom="paragraph">
              <wp:posOffset>63500</wp:posOffset>
            </wp:positionV>
            <wp:extent cx="353695" cy="536575"/>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3115945</wp:posOffset>
                </wp:positionH>
                <wp:positionV relativeFrom="paragraph">
                  <wp:posOffset>466090</wp:posOffset>
                </wp:positionV>
                <wp:extent cx="1280160" cy="100330"/>
                <wp:wrapNone/>
                <wp:docPr id="39" name="Shape 3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5" type="#_x0000_t202" style="position:absolute;margin-left:245.34999999999999pt;margin-top:36.700000000000003pt;width:100.8pt;height:7.9000000000000004pt;z-index:25165773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3073400</wp:posOffset>
                </wp:positionH>
                <wp:positionV relativeFrom="paragraph">
                  <wp:posOffset>151765</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42.pt;margin-top:11.950000000000001pt;width:135.59999999999999pt;height:20.400000000000002pt;z-index:25165774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И.И. Левченко</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56565"/>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Левченко Иван Игоревич</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5Е62СА182Е136О74ОЭСО8641С89В8Е7Е</w:t>
      </w:r>
    </w:p>
    <w:p>
      <w:pPr>
        <w:pStyle w:val="Style30"/>
        <w:keepNext w:val="0"/>
        <w:keepLines w:val="0"/>
        <w:widowControl w:val="0"/>
        <w:shd w:val="clear" w:color="auto" w:fill="auto"/>
        <w:bidi w:val="0"/>
        <w:spacing w:before="0" w:after="80" w:line="240" w:lineRule="auto"/>
        <w:ind w:right="0" w:firstLine="0"/>
        <w:jc w:val="left"/>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07.06.2024 по 31.08.2025</w:t>
      </w:r>
    </w:p>
    <w:sectPr>
      <w:footnotePr>
        <w:pos w:val="pageBottom"/>
        <w:numFmt w:val="decimal"/>
        <w:numRestart w:val="continuous"/>
      </w:footnotePr>
      <w:type w:val="continuous"/>
      <w:pgSz w:w="11900" w:h="16840"/>
      <w:pgMar w:top="1599" w:right="541" w:bottom="159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9961245</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2024-4722</w:t>
                          </w:r>
                        </w:p>
                      </w:txbxContent>
                    </wps:txbx>
                    <wps:bodyPr wrap="none" lIns="0" tIns="0" rIns="0" bIns="0">
                      <a:spAutoFit/>
                    </wps:bodyPr>
                  </wps:wsp>
                </a:graphicData>
              </a:graphic>
            </wp:anchor>
          </w:drawing>
        </mc:Choice>
        <mc:Fallback>
          <w:pict>
            <v:shape id="_x0000_s1029" type="#_x0000_t202" style="position:absolute;margin-left:57.050000000000004pt;margin-top:784.35000000000002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2024-4722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2024-4722</w:t>
                          </w:r>
                        </w:p>
                      </w:txbxContent>
                    </wps:txbx>
                    <wps:bodyPr wrap="none" lIns="0" tIns="0" rIns="0" bIns="0">
                      <a:spAutoFit/>
                    </wps:bodyPr>
                  </wps:wsp>
                </a:graphicData>
              </a:graphic>
            </wp:anchor>
          </w:drawing>
        </mc:Choice>
        <mc:Fallback>
          <w:pict>
            <v:shape id="_x0000_s1031"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2024-4722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3933825</wp:posOffset>
              </wp:positionH>
              <wp:positionV relativeFrom="page">
                <wp:posOffset>694055</wp:posOffset>
              </wp:positionV>
              <wp:extent cx="52070" cy="76200"/>
              <wp:wrapNone/>
              <wp:docPr id="1" name="Shape 1"/>
              <a:graphic xmlns:a="http://schemas.openxmlformats.org/drawingml/2006/main">
                <a:graphicData uri="http://schemas.microsoft.com/office/word/2010/wordprocessingShape">
                  <wps:wsp>
                    <wps:cNvSpPr txBox="1"/>
                    <wps:spPr>
                      <a:xfrm>
                        <a:ext cx="52070" cy="762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75pt;margin-top:54.649999999999999pt;width:4.0999999999999996pt;height:6.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76198"/>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1">
    <w:name w:val="Основной текст (4)_"/>
    <w:basedOn w:val="DefaultParagraphFont"/>
    <w:link w:val="Style1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42"/>
      <w:szCs w:val="42"/>
      <w:u w:val="none"/>
    </w:rPr>
  </w:style>
  <w:style w:type="character" w:customStyle="1" w:styleId="CharStyle29">
    <w:name w:val="Основной текст (5)_"/>
    <w:basedOn w:val="DefaultParagraphFont"/>
    <w:link w:val="Style28"/>
    <w:rPr>
      <w:rFonts w:ascii="Georgia" w:eastAsia="Georgia" w:hAnsi="Georgia" w:cs="Georgia"/>
      <w:b w:val="0"/>
      <w:bCs w:val="0"/>
      <w:i w:val="0"/>
      <w:iCs w:val="0"/>
      <w:smallCaps w:val="0"/>
      <w:strike w:val="0"/>
      <w:color w:val="E9E9E9"/>
      <w:sz w:val="12"/>
      <w:szCs w:val="12"/>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4A4A4A"/>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76198"/>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0">
    <w:name w:val="Основной текст (4)"/>
    <w:basedOn w:val="Normal"/>
    <w:link w:val="CharStyle11"/>
    <w:pPr>
      <w:widowControl w:val="0"/>
      <w:shd w:val="clear" w:color="auto" w:fill="auto"/>
      <w:spacing w:after="22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3">
    <w:name w:val="Заголовок №1"/>
    <w:basedOn w:val="Normal"/>
    <w:link w:val="CharStyle24"/>
    <w:pPr>
      <w:widowControl w:val="0"/>
      <w:shd w:val="clear" w:color="auto" w:fill="auto"/>
      <w:spacing w:after="360"/>
      <w:outlineLvl w:val="0"/>
    </w:pPr>
    <w:rPr>
      <w:rFonts w:ascii="Arial" w:eastAsia="Arial" w:hAnsi="Arial" w:cs="Arial"/>
      <w:b w:val="0"/>
      <w:bCs w:val="0"/>
      <w:i w:val="0"/>
      <w:iCs w:val="0"/>
      <w:smallCaps w:val="0"/>
      <w:strike w:val="0"/>
      <w:sz w:val="42"/>
      <w:szCs w:val="42"/>
      <w:u w:val="none"/>
    </w:rPr>
  </w:style>
  <w:style w:type="paragraph" w:customStyle="1" w:styleId="Style28">
    <w:name w:val="Основной текст (5)"/>
    <w:basedOn w:val="Normal"/>
    <w:link w:val="CharStyle29"/>
    <w:pPr>
      <w:widowControl w:val="0"/>
      <w:shd w:val="clear" w:color="auto" w:fill="auto"/>
      <w:spacing w:after="100"/>
      <w:jc w:val="center"/>
    </w:pPr>
    <w:rPr>
      <w:rFonts w:ascii="Georgia" w:eastAsia="Georgia" w:hAnsi="Georgia" w:cs="Georgia"/>
      <w:b w:val="0"/>
      <w:bCs w:val="0"/>
      <w:i w:val="0"/>
      <w:iCs w:val="0"/>
      <w:smallCaps w:val="0"/>
      <w:strike w:val="0"/>
      <w:color w:val="E9E9E9"/>
      <w:sz w:val="12"/>
      <w:szCs w:val="12"/>
      <w:u w:val="none"/>
    </w:rPr>
  </w:style>
  <w:style w:type="paragraph" w:customStyle="1" w:styleId="Style30">
    <w:name w:val="Основной текст (2)"/>
    <w:basedOn w:val="Normal"/>
    <w:link w:val="CharStyle31"/>
    <w:pPr>
      <w:widowControl w:val="0"/>
      <w:shd w:val="clear" w:color="auto" w:fill="auto"/>
      <w:ind w:left="3100"/>
    </w:pPr>
    <w:rPr>
      <w:rFonts w:ascii="Arial" w:eastAsia="Arial" w:hAnsi="Arial" w:cs="Arial"/>
      <w:b w:val="0"/>
      <w:bCs w:val="0"/>
      <w:i w:val="0"/>
      <w:iCs w:val="0"/>
      <w:smallCaps w:val="0"/>
      <w:strike w:val="0"/>
      <w:color w:val="4A4A4A"/>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