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ул. Мира, д. 27, Ханты-Мансийск, 628012</w:t>
        <w:br/>
        <w:t>телефон/факс +7 (3467) 38-80-81</w:t>
      </w:r>
    </w:p>
    <w:p>
      <w:pPr>
        <w:pStyle w:val="Style8"/>
        <w:keepNext w:val="0"/>
        <w:keepLines w:val="0"/>
        <w:widowControl w:val="0"/>
        <w:shd w:val="clear" w:color="auto" w:fill="auto"/>
        <w:bidi w:val="0"/>
        <w:spacing w:before="0" w:after="0" w:line="288" w:lineRule="auto"/>
        <w:ind w:left="0" w:right="0" w:firstLine="0"/>
        <w:jc w:val="center"/>
      </w:pPr>
      <w:r>
        <w:rPr>
          <w:i w:val="0"/>
          <w:iCs w:val="0"/>
          <w:color w:val="3D60B1"/>
          <w:spacing w:val="0"/>
          <w:w w:val="100"/>
          <w:position w:val="0"/>
          <w:shd w:val="clear" w:color="auto" w:fill="auto"/>
          <w:lang w:val="ru-RU" w:eastAsia="ru-RU" w:bidi="ru-RU"/>
        </w:rPr>
        <w:t>е-таП: 1о86@Га8.§оу.ги, сайт 1Шр://11тао.Га8.§оу.ги</w:t>
      </w:r>
    </w:p>
    <w:p>
      <w:pPr>
        <w:pStyle w:val="Style8"/>
        <w:keepNext w:val="0"/>
        <w:keepLines w:val="0"/>
        <w:widowControl w:val="0"/>
        <w:shd w:val="clear" w:color="auto" w:fill="auto"/>
        <w:bidi w:val="0"/>
        <w:spacing w:before="0" w:after="180" w:line="288" w:lineRule="auto"/>
        <w:ind w:left="0" w:right="0" w:firstLine="0"/>
        <w:jc w:val="both"/>
      </w:pPr>
      <w:r>
        <w:rPr>
          <w:i w:val="0"/>
          <w:iCs w:val="0"/>
          <w:color w:val="3D60B1"/>
          <w:spacing w:val="0"/>
          <w:w w:val="100"/>
          <w:position w:val="0"/>
          <w:shd w:val="clear" w:color="auto" w:fill="auto"/>
          <w:lang w:val="ru-RU" w:eastAsia="ru-RU" w:bidi="ru-RU"/>
        </w:rPr>
        <w:t>ИНН 8601009316 КПП 860101001 ОГРН 1028600512093</w:t>
      </w:r>
    </w:p>
    <w:p>
      <w:pPr>
        <w:pStyle w:val="Style5"/>
        <w:keepNext w:val="0"/>
        <w:keepLines w:val="0"/>
        <w:widowControl w:val="0"/>
        <w:shd w:val="clear" w:color="auto" w:fill="auto"/>
        <w:tabs>
          <w:tab w:leader="underscore" w:pos="1762" w:val="left"/>
          <w:tab w:leader="underscore" w:pos="3926" w:val="left"/>
        </w:tabs>
        <w:bidi w:val="0"/>
        <w:spacing w:before="0" w:after="260"/>
        <w:ind w:left="0" w:right="0" w:firstLine="0"/>
        <w:jc w:val="both"/>
      </w:pPr>
      <w:r>
        <w:rPr>
          <w:b w:val="0"/>
          <w:bCs w:val="0"/>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Оператор электронной площадки</w:t>
      </w:r>
      <w:r>
        <w:rPr>
          <w:b w:val="0"/>
          <w:bCs w:val="0"/>
          <w:color w:val="000000"/>
          <w:spacing w:val="0"/>
          <w:w w:val="100"/>
          <w:position w:val="0"/>
          <w:sz w:val="24"/>
          <w:szCs w:val="24"/>
          <w:shd w:val="clear" w:color="auto" w:fill="auto"/>
          <w:lang w:val="ru-RU" w:eastAsia="ru-RU" w:bidi="ru-RU"/>
        </w:rPr>
        <w:t>:</w:t>
      </w:r>
      <w:bookmarkEnd w:id="0"/>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Шевченко, д.23А</w:t>
      </w:r>
    </w:p>
    <w:p>
      <w:pPr>
        <w:pStyle w:val="Style13"/>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Заявитель</w:t>
      </w:r>
      <w:r>
        <w:rPr>
          <w:b w:val="0"/>
          <w:bCs w:val="0"/>
          <w:color w:val="000000"/>
          <w:spacing w:val="0"/>
          <w:w w:val="100"/>
          <w:position w:val="0"/>
          <w:sz w:val="24"/>
          <w:szCs w:val="24"/>
          <w:shd w:val="clear" w:color="auto" w:fill="auto"/>
          <w:lang w:val="ru-RU" w:eastAsia="ru-RU" w:bidi="ru-RU"/>
        </w:rPr>
        <w:t>:</w:t>
      </w:r>
      <w:bookmarkEnd w:id="2"/>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"СПИРОНИКА",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108824, г. Москва, п. Рязановский, д.</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Никульское, мкр. Петровская Слобода, д. 29, кв.9</w:t>
      </w:r>
    </w:p>
    <w:p>
      <w:pPr>
        <w:pStyle w:val="Style1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Заказчик</w:t>
      </w:r>
      <w:r>
        <w:rPr>
          <w:b w:val="0"/>
          <w:bCs w:val="0"/>
          <w:color w:val="000000"/>
          <w:spacing w:val="0"/>
          <w:w w:val="100"/>
          <w:position w:val="0"/>
          <w:sz w:val="24"/>
          <w:szCs w:val="24"/>
          <w:shd w:val="clear" w:color="auto" w:fill="auto"/>
          <w:lang w:val="ru-RU" w:eastAsia="ru-RU" w:bidi="ru-RU"/>
        </w:rPr>
        <w:t>:</w:t>
      </w:r>
      <w:bookmarkEnd w:id="4"/>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Бюджетное учреждение Ханты-Мансийского автономного округа-Югры «Пыть-Яхская окружная клиническая больница»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628383, ХМАО - Югра , г. Пыть-Ях, ул.</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Православная (8 Горка мкр.), зд. 10</w:t>
      </w:r>
    </w:p>
    <w:p>
      <w:pPr>
        <w:pStyle w:val="Style13"/>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Уполномоченный орган:</w:t>
      </w:r>
      <w:bookmarkEnd w:id="6"/>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Казенное учреждение Ханты-Мансийского автономного округа-Югры «Центр лекарственного мониторинга»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628400, ХМАО - Югра , г. Сургут, ПР-КТ</w:t>
      </w:r>
    </w:p>
    <w:p>
      <w:pPr>
        <w:pStyle w:val="Style16"/>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834" w:bottom="1313" w:left="1140" w:header="0" w:footer="3" w:gutter="0"/>
          <w:pgNumType w:start="1"/>
          <w:cols w:num="2" w:space="720" w:equalWidth="0">
            <w:col w:w="4090" w:space="1176"/>
            <w:col w:w="4661"/>
          </w:cols>
          <w:noEndnote/>
          <w:titlePg/>
          <w:rtlGutter w:val="0"/>
          <w:docGrid w:linePitch="360"/>
        </w:sectPr>
      </w:pPr>
      <w:r>
        <w:rPr>
          <w:color w:val="000000"/>
          <w:spacing w:val="0"/>
          <w:w w:val="100"/>
          <w:position w:val="0"/>
          <w:sz w:val="24"/>
          <w:szCs w:val="24"/>
          <w:shd w:val="clear" w:color="auto" w:fill="auto"/>
          <w:lang w:val="ru-RU" w:eastAsia="ru-RU" w:bidi="ru-RU"/>
        </w:rPr>
        <w:t>Набережный, д. 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4" w:right="0" w:bottom="1234" w:left="0" w:header="0" w:footer="3" w:gutter="0"/>
          <w:cols w:space="720"/>
          <w:noEndnote/>
          <w:rtlGutter w:val="0"/>
          <w:docGrid w:linePitch="360"/>
        </w:sectPr>
      </w:pPr>
    </w:p>
    <w:p>
      <w:pPr>
        <w:pStyle w:val="Style13"/>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 086/06/33-1549/2024</w:t>
      </w:r>
      <w:bookmarkEnd w:id="8"/>
    </w:p>
    <w:p>
      <w:pPr>
        <w:pStyle w:val="Style16"/>
        <w:keepNext w:val="0"/>
        <w:keepLines w:val="0"/>
        <w:widowControl w:val="0"/>
        <w:shd w:val="clear" w:color="auto" w:fill="auto"/>
        <w:tabs>
          <w:tab w:pos="781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объявлена 27.09.2024</w:t>
        <w:tab/>
        <w:t>г. Ханты-Мансийск</w:t>
      </w:r>
    </w:p>
    <w:p>
      <w:pPr>
        <w:pStyle w:val="Style16"/>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Изготовлено в полном объеме 02.10.2024</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16"/>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16"/>
        <w:keepNext w:val="0"/>
        <w:keepLines w:val="0"/>
        <w:widowControl w:val="0"/>
        <w:numPr>
          <w:ilvl w:val="0"/>
          <w:numId w:val="1"/>
        </w:numPr>
        <w:shd w:val="clear" w:color="auto" w:fill="auto"/>
        <w:tabs>
          <w:tab w:pos="9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Иванчикова Е.А. - Начальник отдела Управления;</w:t>
      </w:r>
    </w:p>
    <w:p>
      <w:pPr>
        <w:pStyle w:val="Style16"/>
        <w:keepNext w:val="0"/>
        <w:keepLines w:val="0"/>
        <w:widowControl w:val="0"/>
        <w:numPr>
          <w:ilvl w:val="0"/>
          <w:numId w:val="1"/>
        </w:numPr>
        <w:shd w:val="clear" w:color="auto" w:fill="auto"/>
        <w:tabs>
          <w:tab w:pos="978"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Мацола А.А.- Старший специалист 1 разряда отдела Управления,</w:t>
      </w:r>
    </w:p>
    <w:p>
      <w:pPr>
        <w:pStyle w:val="Style16"/>
        <w:keepNext w:val="0"/>
        <w:keepLines w:val="0"/>
        <w:widowControl w:val="0"/>
        <w:numPr>
          <w:ilvl w:val="0"/>
          <w:numId w:val="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Заявителя - не явился, уведомлен надлежащим образом;</w:t>
      </w:r>
    </w:p>
    <w:p>
      <w:pPr>
        <w:pStyle w:val="Style16"/>
        <w:keepNext w:val="0"/>
        <w:keepLines w:val="0"/>
        <w:widowControl w:val="0"/>
        <w:numPr>
          <w:ilvl w:val="0"/>
          <w:numId w:val="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Заказчика - не явился, уведомлен надлежащим образом;</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от Уполномоченного органа - не явился, уведомлен надлежащим образом,</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ООО "СПИРОНИКА" (108824, г. Москва, п. Рязановский, д.</w:t>
      </w:r>
    </w:p>
    <w:p>
      <w:pPr>
        <w:widowControl w:val="0"/>
        <w:spacing w:line="1" w:lineRule="exact"/>
      </w:pPr>
      <w:r>
        <w:drawing>
          <wp:anchor distT="139700" distB="0" distL="0" distR="0" simplePos="0" relativeHeight="125829378" behindDoc="0" locked="0" layoutInCell="1" allowOverlap="1">
            <wp:simplePos x="0" y="0"/>
            <wp:positionH relativeFrom="page">
              <wp:posOffset>717550</wp:posOffset>
            </wp:positionH>
            <wp:positionV relativeFrom="paragraph">
              <wp:posOffset>139700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Никульское, мкр. Петровская Слобода, д. 29, кв.9, ИНН: 7730202718, КПП: 775101001) № 9532/24 от 24.09.2024 г, на действия Заказчика — Бюджетное учреждение Ханты-Мансийского автономного округа-Югры «Пыть-Яхская окружная клиническая больница», Уполномоченного органа - Казенное учреждение Ханты-Мансийского автономного округа-Югры «Центр лекарственного мониторинга» при проведении электронного аукциона, предметом которого является Поставка расходного медицинского материала для реанимации (извещение № 0387200009124005105)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after="24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УСТАНОВИЛА:</w:t>
      </w:r>
      <w:bookmarkEnd w:id="10"/>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ООО "СПИРОНИКА" (108824, г. Москва, п. Рязановский, д. Никульское, мкр. Петровская Слобода, д. 29, кв.9, ИНН: 7730202718, КПП: 775101001) № 9532/24 от 24.09.2024 г, на действия Заказчика — Бюджетное учреждение Ханты- Мансийского автономного округа-Югры «Пыть-Яхская окружная клиническая больница», Уполномоченного органа - Казенное учреждение Ханты-Мансийского автономного округа-Югры «Центр лекарственного мониторинга» при проведении электронного аукциона, предметом которого является Поставка расходного медицинского материала для реанимации (извещение № 0387200009124005105).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доводе жалобы Заявитель указал следующее:</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1. По мнению Заявителя, Заказчик установил требование и описание для товара, являющегося не медицинским изделием.</w:t>
      </w:r>
    </w:p>
    <w:p>
      <w:pPr>
        <w:pStyle w:val="Style13"/>
        <w:keepNext/>
        <w:keepLines/>
        <w:widowControl w:val="0"/>
        <w:shd w:val="clear" w:color="auto" w:fill="auto"/>
        <w:bidi w:val="0"/>
        <w:spacing w:before="0" w:after="0" w:line="240" w:lineRule="auto"/>
        <w:ind w:left="0" w:right="0" w:firstLine="720"/>
        <w:jc w:val="both"/>
      </w:pPr>
      <w:bookmarkStart w:id="12" w:name="bookmark12"/>
      <w:r>
        <w:rPr>
          <w:color w:val="000000"/>
          <w:spacing w:val="0"/>
          <w:w w:val="100"/>
          <w:position w:val="0"/>
          <w:sz w:val="24"/>
          <w:szCs w:val="24"/>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2"/>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довода жалоба Комиссия Управления поясняет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color w:val="000000"/>
          <w:spacing w:val="0"/>
          <w:w w:val="100"/>
          <w:position w:val="0"/>
          <w:sz w:val="24"/>
          <w:szCs w:val="24"/>
          <w:shd w:val="clear" w:color="auto" w:fill="auto"/>
          <w:lang w:val="ru-RU" w:eastAsia="ru-RU" w:bidi="ru-RU"/>
        </w:rPr>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0387200009124005105 объектом закупки является поставка расходного медицинского материала для реанимации.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Требования к содержанию, составу заявки на участие в закупке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и инструкция по ее заполнению требуются копии документов, выданных соответствующими уполномоченными Федеральными органами исполнительной власти, с приложениями для подтверждения факта государственной регистрации (регистрационное удостоверение или свидетельство о государственной регистрации).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обеспечения корректной работы Оборудования медицинский расходный материал должен отвечать стандартам качества (требованиям), установленным действующим законодательством в сфере здравоохранения (Федеральный закон от 21.11.2011 № 323-ФЗ «Об основах охраны здоровья граждан в Российской Федерации»), в связи с тем, что напрямую отвечает не только за сохранение жизни пациента, но и за работоспособность дорогостоящего Оборудования.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1 ст. 38 Федерального закона от 21.11.2011 № 323-ФЗ «Об основах охраны здоровья граждан в Российской Федерации» (далее - Федеральный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Аналогичное определение «медицинского изделия» отражено в Соглашении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(Москва, 23 декабря 2014 года) (далее - Соглашение о единых принципах обращения медицинских изделий).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4 ст. 38 Федерального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регистрации медицинских изделий по национальному законодательству Российской Федерации установлен постановлением Правительства РФ от 27.12.2012 № 1416, а по праву ЕАЭС - Решением Совета Евразийской экономической комиссии от 12.02.2016 № 46.</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2 Правил государственной регистрации медицинских изделий, утвержденных постановлением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Факт регистрации подтверждается регистрационным удостоверением на медицинское изделие, выдаваемое бессрочно.</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Идентичным образом указанное положение отражено в п. 6 Статьи 4 Соглашения о единых принципах обращения медицинских изделий.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Коллегия Евразийской экономической комиссии в соответствии со статьей 31 Договора о Евразийском экономическом союзе от 29.05.2014 и п. 2 ст. 3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23.12.2014, в целях устранения различий в требованиях, предъявляемых при отнесении продукции к медицинским изделиям, рекомендует государствам - членам Евразийского экономического союза по истечении 6 месяцев с даты опубликования Рекомендации от 12.11.2018 № 25 «О критериях отнесения продукции к медицинским изделиям в рамках Евразийского экономического союза» (далее - Критерии) на </w:t>
      </w:r>
      <w:r>
        <w:rPr>
          <w:color w:val="000000"/>
          <w:spacing w:val="0"/>
          <w:w w:val="100"/>
          <w:position w:val="0"/>
          <w:sz w:val="24"/>
          <w:szCs w:val="24"/>
          <w:shd w:val="clear" w:color="auto" w:fill="auto"/>
          <w:lang w:val="ru-RU" w:eastAsia="ru-RU" w:bidi="ru-RU"/>
        </w:rPr>
        <w:t>официальном сайте Евразийского экономического союза применять Критерии отнесения продукции к медицинским изделиям в рамках Евразийского экономического союза согласно приложению.</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согласно п. 5 Критериев назначение медицинского изделия является одним из основных критериев отнесения продукции к медицинским изделиям. Применение медицинского изделия должно предусматривать его медицинское предназначение. Такое медицинское предназначение должно быть единственным или основным.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Закупаемый товар должен иметь медицинское предназначение, а, следовательно, должен являться медицинским изделием и быть зарегистрированным в установленном порядке.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в своей жалобе указывает, что «абсорбент углекислого газа» исключен из перечня медицинских изделий, в том числе путем исключения кода вида 241180 из номенклатурной классификации медицинских изделий в 2016 году.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данным государственного реестра медицинских изделий, размещенного на официальном сайте Росздравнадзора в сети «Интернет», имеется несколько действующих регистрационных удостоверений на абсорбент (натронную известь) разных производителей, в том числе зарегистрированных после 2016 года, следовательно, на рынке имеются товары, соответствующие потребности Заказчика, которые имеют регистрационные удостоверения, указывающие на то, что такой товар является медицинским изделием и свободно обращается в экономическом пространстве. Таким образом, установленное Заказчиком требование о наличии в составе заявки копии действующего регистрационного удостоверения или информации о таком удостоверении для подтверждения соответствия товаров требованиям, установленным в соответствии с законодательством Российской Федерации, не противоречит требованиям действующего законодательства, например:</w:t>
      </w:r>
    </w:p>
    <w:p>
      <w:pPr>
        <w:pStyle w:val="Style16"/>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ФСЗ 2012/12634 от 06.09.2012 «Устройства и системы дыхательные для наркозно</w:t>
        <w:softHyphen/>
        <w:t>дыхательных аппаратов, для аэрозольной и кислородной терапии с принадлежностями Абсорбент (в картридже 1 кг; в канистре 5 л; в мешке 1 кг; емкостях САХ-САХ 800 г (1 л), О-СА№ 800 г (1 л), ^-СА^ 800 г (1 л), В^ВВ^Е-СА^ 1 кг (1,3 л), СХА'ЕЕХАЕ ВСВВЕЕ-САХ 930 г (1,2 кг))»;</w:t>
      </w:r>
    </w:p>
    <w:p>
      <w:pPr>
        <w:pStyle w:val="Style16"/>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РЗН 2016/4354 от 28.06.2016 «Абсорбент углекислого газа медицинский для наркозно</w:t>
        <w:softHyphen/>
        <w:t>дыхательной аппаратуры и респираторных систем "ЛИТОЛАЙМ" (Е1ТНОЕУМЕ)»;</w:t>
      </w:r>
    </w:p>
    <w:p>
      <w:pPr>
        <w:pStyle w:val="Style16"/>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ФСЗ 2010/08630 от 29.06.2020 «Абсорбент углекислоты в дыхательной смеси ^^аеде^8о^Ь 800 р1из»;</w:t>
      </w:r>
    </w:p>
    <w:p>
      <w:pPr>
        <w:pStyle w:val="Style16"/>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ФСЗ 2009/03551 от 08.06.2021 «Устройства и дыхательные системы для наркозно</w:t>
        <w:softHyphen/>
        <w:t>дыхательных аппаратов, аэрозольной и кислородной терапии Абсорбенты углекислого газа: не содержащие и содержащие гидроксиды щелочных металлов в упаковочных пакетах, в канистрах, в картриджах, в пластиковых вёдрах»;</w:t>
      </w:r>
    </w:p>
    <w:p>
      <w:pPr>
        <w:pStyle w:val="Style16"/>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ФСЗ 2009/04992 от 22.03.2023 «Изделия медицинские полимерные для анестезиологии и реаниматологии Абсорбент - натронная известь».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на рынке имеются зарегистрированные медицинские изделия, соответствующие потребности Заказчика в закупаемом медицинском изделие.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информацией, размещенной на официальном сайте Росздравнадзора в телекоммуникационной сети «Интернет» в вышеуказанных регистрационных удостоверениях «абсорбент» зарегистрирован в качестве самостоятельного медицинского изделия в различных исполнениях (моделях), например:</w:t>
      </w:r>
    </w:p>
    <w:p>
      <w:pPr>
        <w:pStyle w:val="Style18"/>
        <w:keepNext w:val="0"/>
        <w:keepLines w:val="0"/>
        <w:widowControl w:val="0"/>
        <w:shd w:val="clear" w:color="auto" w:fill="auto"/>
        <w:bidi w:val="0"/>
        <w:spacing w:before="0" w:after="0" w:line="240" w:lineRule="auto"/>
        <w:ind w:left="350" w:right="0" w:firstLine="0"/>
        <w:jc w:val="left"/>
      </w:pPr>
      <w:r>
        <w:rPr>
          <w:color w:val="000000"/>
          <w:spacing w:val="0"/>
          <w:w w:val="100"/>
          <w:position w:val="0"/>
          <w:sz w:val="24"/>
          <w:szCs w:val="24"/>
          <w:shd w:val="clear" w:color="auto" w:fill="auto"/>
          <w:lang w:val="ru-RU" w:eastAsia="ru-RU" w:bidi="ru-RU"/>
        </w:rPr>
        <w:t>1. Регистрационное удостоверение ФСЗ 2009/03551 от 08.06.2021 года:</w:t>
      </w:r>
    </w:p>
    <w:tbl>
      <w:tblPr>
        <w:tblOverlap w:val="never"/>
        <w:jc w:val="center"/>
        <w:tblLayout w:type="fixed"/>
      </w:tblPr>
      <w:tblGrid>
        <w:gridCol w:w="1090"/>
        <w:gridCol w:w="8390"/>
      </w:tblGrid>
      <w:tr>
        <w:trPr>
          <w:trHeight w:val="528"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не содержащие гидроксиды щелочных металлов в упаковочных пакетах,</w:t>
            </w:r>
          </w:p>
        </w:tc>
      </w:tr>
      <w:tr>
        <w:trPr>
          <w:trHeight w:val="509"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не содержащие гидроксиды щелочных металлов в канистрах,</w:t>
            </w:r>
          </w:p>
        </w:tc>
      </w:tr>
      <w:tr>
        <w:trPr>
          <w:trHeight w:val="518"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не содержащие гидроксиды щелочных металлов в картриджах,</w:t>
            </w:r>
          </w:p>
        </w:tc>
      </w:tr>
      <w:tr>
        <w:trPr>
          <w:trHeight w:val="523"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bottom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не содержащие гидроксиды щелочных металлов в пластиковых вёдрах.</w:t>
            </w:r>
          </w:p>
        </w:tc>
      </w:tr>
    </w:tbl>
    <w:p>
      <w:pPr>
        <w:widowControl w:val="0"/>
        <w:spacing w:line="1" w:lineRule="exact"/>
      </w:pPr>
    </w:p>
    <w:tbl>
      <w:tblPr>
        <w:tblOverlap w:val="never"/>
        <w:jc w:val="center"/>
        <w:tblLayout w:type="fixed"/>
      </w:tblPr>
      <w:tblGrid>
        <w:gridCol w:w="1090"/>
        <w:gridCol w:w="8390"/>
      </w:tblGrid>
      <w:tr>
        <w:trPr>
          <w:trHeight w:val="523"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содержащие гидроксиды щелочных металлов в упаковочных пакетах,</w:t>
            </w:r>
          </w:p>
        </w:tc>
      </w:tr>
      <w:tr>
        <w:trPr>
          <w:trHeight w:val="509"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содержащие гидроксиды щелочных металлов в канистрах,</w:t>
            </w:r>
          </w:p>
        </w:tc>
      </w:tr>
      <w:tr>
        <w:trPr>
          <w:trHeight w:val="518"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содержащие гидроксиды щелочных металлов в картриджах,</w:t>
            </w:r>
          </w:p>
        </w:tc>
      </w:tr>
      <w:tr>
        <w:trPr>
          <w:trHeight w:val="523"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241230</w:t>
            </w:r>
          </w:p>
        </w:tc>
        <w:tc>
          <w:tcPr>
            <w:tcBorders>
              <w:top w:val="single" w:sz="4"/>
              <w:left w:val="single" w:sz="4"/>
              <w:bottom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 Абсорбенты углекислого газа: содержащие гидроксиды щелочных металлов в пластиковых вёдрах.</w:t>
            </w:r>
          </w:p>
        </w:tc>
      </w:tr>
    </w:tbl>
    <w:p>
      <w:pPr>
        <w:widowControl w:val="0"/>
        <w:spacing w:after="239" w:line="1" w:lineRule="exact"/>
      </w:pPr>
    </w:p>
    <w:p>
      <w:pPr>
        <w:widowControl w:val="0"/>
        <w:spacing w:line="1" w:lineRule="exact"/>
      </w:pPr>
    </w:p>
    <w:p>
      <w:pPr>
        <w:pStyle w:val="Style18"/>
        <w:keepNext w:val="0"/>
        <w:keepLines w:val="0"/>
        <w:widowControl w:val="0"/>
        <w:shd w:val="clear" w:color="auto" w:fill="auto"/>
        <w:bidi w:val="0"/>
        <w:spacing w:before="0" w:after="0" w:line="240" w:lineRule="auto"/>
        <w:ind w:left="341" w:right="0" w:firstLine="0"/>
        <w:jc w:val="left"/>
      </w:pPr>
      <w:r>
        <w:rPr>
          <w:color w:val="000000"/>
          <w:spacing w:val="0"/>
          <w:w w:val="100"/>
          <w:position w:val="0"/>
          <w:sz w:val="24"/>
          <w:szCs w:val="24"/>
          <w:shd w:val="clear" w:color="auto" w:fill="auto"/>
          <w:lang w:val="ru-RU" w:eastAsia="ru-RU" w:bidi="ru-RU"/>
        </w:rPr>
        <w:t>2. Регистрационное удостоверение РЗН 2016/4354 от 28.06.2016 года:</w:t>
      </w:r>
    </w:p>
    <w:tbl>
      <w:tblPr>
        <w:tblOverlap w:val="never"/>
        <w:jc w:val="center"/>
        <w:tblLayout w:type="fixed"/>
      </w:tblPr>
      <w:tblGrid>
        <w:gridCol w:w="1138"/>
        <w:gridCol w:w="8371"/>
      </w:tblGrid>
      <w:tr>
        <w:trPr>
          <w:trHeight w:val="523"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241200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Абсорбент углекислого газа медицинский для наркозно-дыхательной аппаратуры и респираторных систем "ЛИТОЛАЙМ" (Е1ТНОЕУМЕ): 1. Канистра 55-01-0014.</w:t>
            </w:r>
          </w:p>
        </w:tc>
      </w:tr>
      <w:tr>
        <w:trPr>
          <w:trHeight w:val="514"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241200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Абсорбент углекислого газа медицинский для наркозно-дыхательной аппаратуры и респираторных систем "ЛИТОЛАЙМ" (Е1ТНОЕУМЕ): 2. Мешок 55-01-0016.</w:t>
            </w:r>
          </w:p>
        </w:tc>
      </w:tr>
      <w:tr>
        <w:trPr>
          <w:trHeight w:val="528"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241200</w:t>
            </w:r>
          </w:p>
        </w:tc>
        <w:tc>
          <w:tcPr>
            <w:tcBorders>
              <w:top w:val="single" w:sz="4"/>
              <w:left w:val="single" w:sz="4"/>
              <w:bottom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Абсорбент углекислого газа медицинский для наркозно-дыхательной аппаратуры и респираторных систем "ЛИТОЛАЙМ" (Е1ТНОЕУМЕ): 3. Картридж: 55-01-0015;</w:t>
            </w:r>
          </w:p>
        </w:tc>
      </w:tr>
    </w:tbl>
    <w:p>
      <w:pPr>
        <w:widowControl w:val="0"/>
        <w:spacing w:after="239" w:line="1" w:lineRule="exact"/>
      </w:pP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из письма ФГБУ «ВНИИИМТ» Росздравнадзора №07-10833/24 от 13.09.2024 следует, что абсорбент углекислого газа может являться как медицинским изделием, так и не медицинским изделием в зависимости от функционального назначения и показания к применению.</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в соответствии с пп. «д» п. 57 Правил государственной регистрации медицинских изделий, утвержденных постановлением № 1416, регистрирующий орган (Росздравнадзор) принимает решение об отмене государственной регистрации медицинского изделия в случае получения заключений экспертного учреждения о том, что содержащиеся в государственном реестре инструмент, аппарат, прибор, оборудование, материал и прочие изделия по своему функциональному назначению и (или) принципу действия не могут применяться в медицинских целях и (или) не являются медицинскими изделиями.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 настоящего времени ни одно из вышеперечисленных регистрационных удостоверений не отменено по причине того, что зарегистрированный товар не является медицинским изделием или перестал являться таковым.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закупаемое изделие в соответствии с вышеуказанными фактами признается медицинским, в следствие чего, требование Заказчика о предоставлении регистрационного удостоверения является правомерным и обоснованным.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применимости в качестве нормативной базы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(Москва, 23 декабря 2014 года) (далее - Соглашение о единых принципах) необходимо отметить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Указанный документ регулирует принципы и правила обращения медицинских изделий. Как указывалось, ранее, объектом закупки является именно медицинское изделие.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следствие, применение рассматриваемого международного-правового акта, правомерно и необходимо в рамках извещения об осуществлении закупки, в частности, в силу следующих, содержащихся в нем положений.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Статья 2 Соглашения о единых принципах содержит определение о единых принципах, а именно: «медицинские изделия» - любые инструменты, аппараты, приборы, оборудование, материалы и прочие изделия, которые применяются в медицинских целях отдельно или в сочетании между собой, а также с принадлежностями, необходимыми для применения указанных изделий по назначению (включая специальное программное обеспечение), предназначены производителем для профилактики, диагностики, лечения заболеваний, медицинской реабилитации и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w:t>
      </w:r>
      <w:r>
        <w:rPr>
          <w:color w:val="000000"/>
          <w:spacing w:val="0"/>
          <w:w w:val="100"/>
          <w:position w:val="0"/>
          <w:sz w:val="24"/>
          <w:szCs w:val="24"/>
          <w:shd w:val="clear" w:color="auto" w:fill="auto"/>
          <w:lang w:val="ru-RU" w:eastAsia="ru-RU" w:bidi="ru-RU"/>
        </w:rPr>
        <w:t>однако может поддерживаться лекарственными средствами;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п.6 Статьи 4 Соглашения о единых принципах документом, подтверждающим факт регистрации медицинского изделия, является регистрационное удостоверение медицинского изделия, действующее в рамках Союза.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 также иными положениями Соглашения о единых принципах устанавливаются правила выпуска медицинских изделий, требования к регистрации медицинских изделий, а также иные требования, касающиеся медицинских изделий.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Закупаемый абсорбент применяется Заказчиком в качестве медицинского изделия путем его применения в качестве медицинского расходного материала (медицинского изделия) для работы технологически сложного медицинского оборудования - аппарата искусственной вентиляции легких и наркозно-дыхательного аппарата, и должен иметь медицинское предназначение, а, следовательно, должен являться медицинским изделием и быть зарегистрированным в установленном порядке.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Федеральный закон от 05.04.2013 г. №44-ФЗ «О контрактной системе в сфере закупок товаров, работ, услуг для обеспечения государственных и муниципальных нужд»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абсорбентов, Заказчик не имеет возможности установить требования к характеристикам товара, которые удовлетворяли бы всех возможных участников закупки, и отсутствие у участников закупки возможности поставить товар необходимый заказчику, не означает ограничение количества участников такой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Требуемая продукция находится в свободном обращении на территории РФ, объектом закупки является поставка дезинфицирующих средств, а не их производство, т.е. участниками закупки могут быть не только производители, но и поставщики.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действующим законодательством о закупках, их участниками могут выступать любые юридические или физические лица, а также индивидуальные предприниматели (в том числе не являющиеся производителями требуемого к поставке товара), имеющие возможность поставить товар, отвечающий требованиям документации об электронном аукционе и удовлетворяющий потребности заказчика.</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Следовательно, включение в аукционную документацию характеристик товара, которые не отвечают требованиям всех участников рынка не может рассматриваться как ограничение доступа к участию в аукционе.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при объявлении аукциона Заказчик действовал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ни одно из положений указанного закона Заказчиком нарушено не было.</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необоснованными.</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Жалоба ООО "СПИРОНИКА" (108824, г. Москва, п. Рязановский, д. Никульское, мкр. Петровская Слобода, д. 29, кв.9, ИНН: 7730202718, КПП: 775101001) № 9532/24 от 24.09.2024 г, рассмотрена Комиссией Управления в соответствии с требованиями Закона о контрактной системе.</w:t>
      </w:r>
    </w:p>
    <w:p>
      <w:pPr>
        <w:pStyle w:val="Style16"/>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3"/>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РЕШИЛА:</w:t>
      </w:r>
      <w:bookmarkEnd w:id="14"/>
    </w:p>
    <w:p>
      <w:pPr>
        <w:pStyle w:val="Style16"/>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"СПИРОНИКА" (108824, г. Москва, п. Рязановский, д. Никульское, мкр. Петровская Слобода, д. 29, кв.9, ИНН: 7730202718, КПП: 775101001) № 9532/24 от 24.09.2024 г, на действия Заказчика — Бюджетное учреждение Ханты-Мансийского автономного округа-Югры «Пыть-Яхская окружная клиническая больница», Уполномоченного</w:t>
        <w:br w:type="page"/>
      </w:r>
      <w:r>
        <w:rPr>
          <w:color w:val="000000"/>
          <w:spacing w:val="0"/>
          <w:w w:val="100"/>
          <w:position w:val="0"/>
          <w:sz w:val="24"/>
          <w:szCs w:val="24"/>
          <w:shd w:val="clear" w:color="auto" w:fill="auto"/>
          <w:lang w:val="ru-RU" w:eastAsia="ru-RU" w:bidi="ru-RU"/>
        </w:rPr>
        <w:t>органа - Казенное учреждение Ханты-Мансийского автономного округа-Югры «Центр лекарственного мониторинга» при проведении электронного аукциона, предметом которого является Поставка расходного медицинского материала для реанимации (извещение № 0387200009124005105) необоснованной.</w:t>
      </w:r>
    </w:p>
    <w:p>
      <w:pPr>
        <w:pStyle w:val="Style16"/>
        <w:keepNext w:val="0"/>
        <w:keepLines w:val="0"/>
        <w:widowControl w:val="0"/>
        <w:numPr>
          <w:ilvl w:val="0"/>
          <w:numId w:val="5"/>
        </w:numPr>
        <w:shd w:val="clear" w:color="auto" w:fill="auto"/>
        <w:tabs>
          <w:tab w:pos="18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Предписание не выдавать.</w:t>
      </w:r>
    </w:p>
    <w:p>
      <w:pPr>
        <w:pStyle w:val="Style16"/>
        <w:keepNext w:val="0"/>
        <w:keepLines w:val="0"/>
        <w:widowControl w:val="0"/>
        <w:numPr>
          <w:ilvl w:val="0"/>
          <w:numId w:val="5"/>
        </w:numPr>
        <w:shd w:val="clear" w:color="auto" w:fill="auto"/>
        <w:tabs>
          <w:tab w:pos="1080" w:val="left"/>
        </w:tabs>
        <w:bidi w:val="0"/>
        <w:spacing w:before="0" w:after="800" w:line="240" w:lineRule="auto"/>
        <w:ind w:left="0" w:right="0" w:firstLine="740"/>
        <w:jc w:val="both"/>
      </w:pPr>
      <w:r>
        <w:rPr>
          <w:color w:val="000000"/>
          <w:spacing w:val="0"/>
          <w:w w:val="100"/>
          <w:position w:val="0"/>
          <w:sz w:val="24"/>
          <w:szCs w:val="24"/>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(\\л\л\'.хакирк1.до\'.ги).</w:t>
      </w:r>
    </w:p>
    <w:p>
      <w:pPr>
        <w:pStyle w:val="Style16"/>
        <w:keepNext w:val="0"/>
        <w:keepLines w:val="0"/>
        <w:widowControl w:val="0"/>
        <w:shd w:val="clear" w:color="auto" w:fill="auto"/>
        <w:bidi w:val="0"/>
        <w:spacing w:before="0" w:after="800" w:line="240" w:lineRule="auto"/>
        <w:ind w:left="0" w:right="0" w:firstLine="0"/>
        <w:jc w:val="left"/>
      </w:pPr>
      <w:r>
        <mc:AlternateContent>
          <mc:Choice Requires="wps">
            <w:drawing>
              <wp:anchor distT="0" distB="701040" distL="114300" distR="251460" simplePos="0" relativeHeight="125829379" behindDoc="0" locked="0" layoutInCell="1" allowOverlap="1">
                <wp:simplePos x="0" y="0"/>
                <wp:positionH relativeFrom="page">
                  <wp:posOffset>5948680</wp:posOffset>
                </wp:positionH>
                <wp:positionV relativeFrom="paragraph">
                  <wp:posOffset>12700</wp:posOffset>
                </wp:positionV>
                <wp:extent cx="993775" cy="216535"/>
                <wp:wrapSquare wrapText="left"/>
                <wp:docPr id="9" name="Shape 9"/>
                <a:graphic xmlns:a="http://schemas.openxmlformats.org/drawingml/2006/main">
                  <a:graphicData uri="http://schemas.microsoft.com/office/word/2010/wordprocessingShape">
                    <wps:wsp>
                      <wps:cNvSpPr txBox="1"/>
                      <wps:spPr>
                        <a:xfrm>
                          <a:ext cx="99377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wps:txbx>
                      <wps:bodyPr wrap="none" lIns="0" tIns="0" rIns="0" bIns="0">
                        <a:noAutoFit/>
                      </wps:bodyPr>
                    </wps:wsp>
                  </a:graphicData>
                </a:graphic>
              </wp:anchor>
            </w:drawing>
          </mc:Choice>
          <mc:Fallback>
            <w:pict>
              <v:shape id="_x0000_s1035" type="#_x0000_t202" style="position:absolute;margin-left:468.40000000000003pt;margin-top:1.pt;width:78.25pt;height:17.050000000000001pt;z-index:-125829374;mso-wrap-distance-left:9.pt;mso-wrap-distance-right:19.800000000000001pt;mso-wrap-distance-bottom:55.200000000000003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v:textbox>
                <w10:wrap type="square" side="left" anchorx="page"/>
              </v:shape>
            </w:pict>
          </mc:Fallback>
        </mc:AlternateContent>
      </w:r>
      <w:r>
        <mc:AlternateContent>
          <mc:Choice Requires="wps">
            <w:drawing>
              <wp:anchor distT="701040" distB="0" distL="126365" distR="114300" simplePos="0" relativeHeight="125829381" behindDoc="0" locked="0" layoutInCell="1" allowOverlap="1">
                <wp:simplePos x="0" y="0"/>
                <wp:positionH relativeFrom="page">
                  <wp:posOffset>5960745</wp:posOffset>
                </wp:positionH>
                <wp:positionV relativeFrom="paragraph">
                  <wp:posOffset>713740</wp:posOffset>
                </wp:positionV>
                <wp:extent cx="1118870" cy="216535"/>
                <wp:wrapSquare wrapText="left"/>
                <wp:docPr id="11" name="Shape 11"/>
                <a:graphic xmlns:a="http://schemas.openxmlformats.org/drawingml/2006/main">
                  <a:graphicData uri="http://schemas.microsoft.com/office/word/2010/wordprocessingShape">
                    <wps:wsp>
                      <wps:cNvSpPr txBox="1"/>
                      <wps:spPr>
                        <a:xfrm>
                          <a:ext cx="111887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Иванчикова</w:t>
                            </w:r>
                          </w:p>
                        </w:txbxContent>
                      </wps:txbx>
                      <wps:bodyPr wrap="none" lIns="0" tIns="0" rIns="0" bIns="0">
                        <a:noAutoFit/>
                      </wps:bodyPr>
                    </wps:wsp>
                  </a:graphicData>
                </a:graphic>
              </wp:anchor>
            </w:drawing>
          </mc:Choice>
          <mc:Fallback>
            <w:pict>
              <v:shape id="_x0000_s1037" type="#_x0000_t202" style="position:absolute;margin-left:469.35000000000002pt;margin-top:56.200000000000003pt;width:88.100000000000009pt;height:17.050000000000001pt;z-index:-125829372;mso-wrap-distance-left:9.9500000000000011pt;mso-wrap-distance-top:55.200000000000003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Иванчикова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8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20" w:line="240" w:lineRule="auto"/>
        <w:ind w:left="0" w:right="620" w:firstLine="0"/>
        <w:jc w:val="right"/>
      </w:pPr>
      <w:r>
        <w:rPr>
          <w:color w:val="000000"/>
          <w:spacing w:val="0"/>
          <w:w w:val="100"/>
          <w:position w:val="0"/>
          <w:sz w:val="24"/>
          <w:szCs w:val="24"/>
          <w:shd w:val="clear" w:color="auto" w:fill="auto"/>
          <w:lang w:val="ru-RU" w:eastAsia="ru-RU" w:bidi="ru-RU"/>
        </w:rPr>
        <w:t>А.А. Мацола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type w:val="continuous"/>
      <w:pgSz w:w="11900" w:h="16840"/>
      <w:pgMar w:top="564" w:right="540" w:bottom="1234"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10051415</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791.45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2024-7173</w:t>
                          </w:r>
                        </w:p>
                      </w:txbxContent>
                    </wps:txbx>
                    <wps:bodyPr wrap="none" lIns="0" tIns="0" rIns="0" bIns="0">
                      <a:spAutoFit/>
                    </wps:bodyPr>
                  </wps:wsp>
                </a:graphicData>
              </a:graphic>
            </wp:anchor>
          </w:drawing>
        </mc:Choice>
        <mc:Fallback>
          <w:pict>
            <v:shape id="_x0000_s1031"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3D60B1"/>
      <w:sz w:val="19"/>
      <w:szCs w:val="19"/>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iCs/>
      <w:smallCaps w:val="0"/>
      <w:strike w:val="0"/>
      <w:sz w:val="16"/>
      <w:szCs w:val="16"/>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4">
    <w:name w:val="Заголовок №1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u w:val="singl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3D60B1"/>
      <w:sz w:val="19"/>
      <w:szCs w:val="19"/>
      <w:u w:val="none"/>
    </w:rPr>
  </w:style>
  <w:style w:type="paragraph" w:customStyle="1" w:styleId="Style8">
    <w:name w:val="Основной текст (2)"/>
    <w:basedOn w:val="Normal"/>
    <w:link w:val="CharStyle9"/>
    <w:pPr>
      <w:widowControl w:val="0"/>
      <w:shd w:val="clear" w:color="auto" w:fill="auto"/>
      <w:spacing w:line="264" w:lineRule="auto"/>
      <w:ind w:firstLine="370"/>
    </w:pPr>
    <w:rPr>
      <w:rFonts w:ascii="Times New Roman" w:eastAsia="Times New Roman" w:hAnsi="Times New Roman" w:cs="Times New Roman"/>
      <w:b w:val="0"/>
      <w:bCs w:val="0"/>
      <w:i/>
      <w:iCs/>
      <w:smallCaps w:val="0"/>
      <w:strike w:val="0"/>
      <w:sz w:val="16"/>
      <w:szCs w:val="16"/>
      <w:u w:val="none"/>
    </w:rPr>
  </w:style>
  <w:style w:type="paragraph" w:customStyle="1" w:styleId="Style11">
    <w:name w:val="Подпись к картинке"/>
    <w:basedOn w:val="Normal"/>
    <w:link w:val="CharStyle12"/>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3">
    <w:name w:val="Заголовок №1"/>
    <w:basedOn w:val="Normal"/>
    <w:link w:val="CharStyle14"/>
    <w:pPr>
      <w:widowControl w:val="0"/>
      <w:shd w:val="clear" w:color="auto" w:fill="auto"/>
      <w:outlineLvl w:val="0"/>
    </w:pPr>
    <w:rPr>
      <w:rFonts w:ascii="Times New Roman" w:eastAsia="Times New Roman" w:hAnsi="Times New Roman" w:cs="Times New Roman"/>
      <w:b/>
      <w:bCs/>
      <w:i w:val="0"/>
      <w:iCs w:val="0"/>
      <w:smallCaps w:val="0"/>
      <w:strike w:val="0"/>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таблице"/>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u w:val="singl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