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97" w:right="815" w:bottom="1063" w:left="109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по жалобе ООО «АВИС»</w:t>
        <w:br/>
        <w:t>№359-15140-24/4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57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6309360</wp:posOffset>
                </wp:positionH>
                <wp:positionV relativeFrom="paragraph">
                  <wp:posOffset>177800</wp:posOffset>
                </wp:positionV>
                <wp:extent cx="706120" cy="1968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6120" cy="196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Самара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96.80000000000001pt;margin-top:14.pt;width:55.600000000000001pt;height:15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Самара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оглашена 27.09.2024г.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80" w:line="26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Самарской области (Самарское УФАС России) по контролю в сфере закупок (далее - Комиссия Самарского УФАС)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закупок), жалобу ООО «АВИС» (далее - Заявитель) на действия Заказчика при заключении контракта по итогам проведения запроса котировок в электронной форме по объекту закупки: Благоустройство дворовой территории пгт. Рощинский д. 9,10 (извещение № 0142300029024000038, начальная (максимальная) цена контракта - 7 661 768,78 руб.) (далее - Закупка),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Самарское УФАС России поступила жалоба ООО «АВИС» на действия Заказчика при заключении контракта.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жалобы Заявителя следует, что Заказчиком сформирован протокол о признании ООО «АВИС» уклонившимся от заключения контракта.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Заявитель просит признать жалобу обоснованной, продлить срок подписания контракта.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Представители Заказчика с доводами жалобы не согласились, просили в удовлетворении жалобы отказать.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Выслушав доводы сторон, изучив материалы жалобы, извещение о проведении запроса котировок, приложения к извещению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10.09.2024 в ЕИС размещено извещение №0142300029024000038 о проведении запроса котировок в электронной форме.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от 18.09.2024 №ИЗК1, победителем закупки признано ООО «АВИС».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6 статьи 50 Закона о контрактной системе, заключение контракта по результатам проведения электронного запроса котировок осуществляется в порядке, установленном статьей 51 Закона о контрактной системе, с учетом следующих особенностей: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формирует и размещает в ЕИС и на электронной площадке (с использованием единой информационной системы) без своей подписи проект контракта не позднее одного рабочего дня, следующего за днем размещения в ЕИС протокола подведения итогов определения поставщика (подрядчика, исполнителя);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 закупки, с которым заключается контракт, осуществляет действия, предусмотренные пунктом 1 части 3 статьи 51 Закона о контрактной системе, не позднее одного рабочего дня, следующего за днем осуществления заказчиком действий в соответствии с пунктом 1 настоящей части;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осуществляет действия, предусмотренные пунктом 1 части 4 статьи 51 Закона о контрактной системе, не позднее одного рабочего дня, следующего за днем осуществления участником закупки, с которым заключается контракт, действий в соответствии с пунктом 2 настоящей части, но не ранее чем через два рабочих дня, следующих за днем размещения в ЕИС протокола подведения итогов определения поставщика (подрядчика, исполнителя);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действий, предусмотренных пунктом 2 части 2, пунктом 2 части 3, пунктами 2 и 3 части 4 статьи 51 Закона о контрактной системе, не допускается.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19.09.2024г. Заказчиком размещен проект контракта.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20.09.2024г. крайний срок подписания проекта контракта.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части 6 статьи 51 Закона о контрактной системе определено, что в случае, если участником закупки, с которым заключается контракт, не выполнены требования, предусмотренные частью 3 (за исключением случая, предусмотренного пунктом 3 части 3 настоящей статьи, а также случая, если таким участником закупки в срок, установленный частью 3 настоящей статьи, не выполнены требования пункта 3 части 3 настоящей статьи) и частью 5 настоящей статьи такой участник закупки считается уклонившимся от заключения контракта.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23.09.2024г. размещен протокол признания участника уклонившимся от заключения контракта.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действия Заказчика, в части признания Общества уклонившимся от заключения контракта, осуществлены в рамках требований законодательства о контрактной системе. Жалоба признана необоснованной.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частью 8 статьи 106 Закона о контрактной системе, Комиссия Самарского УФАС России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«АВИС» необоснованной.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 даты его принятия.</w:t>
      </w:r>
    </w:p>
    <w:sectPr>
      <w:footnotePr>
        <w:pos w:val="pageBottom"/>
        <w:numFmt w:val="decimal"/>
        <w:numRestart w:val="continuous"/>
      </w:footnotePr>
      <w:pgSz w:w="11900" w:h="16840"/>
      <w:pgMar w:top="1097" w:right="815" w:bottom="1063" w:left="109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6233795</wp:posOffset>
              </wp:positionH>
              <wp:positionV relativeFrom="page">
                <wp:posOffset>10081895</wp:posOffset>
              </wp:positionV>
              <wp:extent cx="795655" cy="1739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ru-RU" w:eastAsia="ru-RU" w:bidi="ru-RU"/>
                            </w:rPr>
                            <w:t>176431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490.85000000000002pt;margin-top:793.85000000000002pt;width:62.649999999999999pt;height:13.70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ru-RU" w:eastAsia="ru-RU" w:bidi="ru-RU"/>
                      </w:rPr>
                      <w:t>176431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3848735</wp:posOffset>
              </wp:positionH>
              <wp:positionV relativeFrom="page">
                <wp:posOffset>385445</wp:posOffset>
              </wp:positionV>
              <wp:extent cx="54610" cy="9144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3.05000000000001pt;margin-top:30.350000000000001pt;width:4.2999999999999998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spacing w:line="26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</file>