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1773555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628015" distB="789305" distL="114300" distR="132715" simplePos="0" relativeHeight="125829379" behindDoc="0" locked="0" layoutInCell="1" allowOverlap="1">
                <wp:simplePos x="0" y="0"/>
                <wp:positionH relativeFrom="page">
                  <wp:posOffset>721995</wp:posOffset>
                </wp:positionH>
                <wp:positionV relativeFrom="paragraph">
                  <wp:posOffset>640715</wp:posOffset>
                </wp:positionV>
                <wp:extent cx="2578735" cy="1844040"/>
                <wp:wrapSquare wrapText="right"/>
                <wp:docPr id="3" name="Shape 3"/>
                <a:graphic xmlns:a="http://schemas.openxmlformats.org/drawingml/2006/main">
                  <a:graphicData uri="http://schemas.microsoft.com/office/word/2010/wordprocessingShape">
                    <wps:wsp>
                      <wps:cNvSpPr txBox="1"/>
                      <wps:spPr>
                        <a:xfrm>
                          <a:ext cx="2578735" cy="1844040"/>
                        </a:xfrm>
                        <a:prstGeom prst="rect"/>
                        <a:noFill/>
                      </wps:spPr>
                      <wps:txbx>
                        <w:txbxContent>
                          <w:p>
                            <w:pPr>
                              <w:pStyle w:val="Style2"/>
                              <w:keepNext w:val="0"/>
                              <w:keepLines w:val="0"/>
                              <w:widowControl w:val="0"/>
                              <w:shd w:val="clear" w:color="auto" w:fill="auto"/>
                              <w:bidi w:val="0"/>
                              <w:spacing w:before="0" w:line="307"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ind w:left="0" w:right="0" w:firstLine="0"/>
                              <w:jc w:val="center"/>
                            </w:pPr>
                            <w:r>
                              <w:rPr>
                                <w:b/>
                                <w:bCs/>
                                <w:spacing w:val="0"/>
                                <w:w w:val="100"/>
                                <w:position w:val="0"/>
                                <w:shd w:val="clear" w:color="auto" w:fill="auto"/>
                                <w:lang w:val="ru-RU" w:eastAsia="ru-RU" w:bidi="ru-RU"/>
                              </w:rPr>
                              <w:t>Федеральной антимонопольной</w:t>
                              <w:br/>
                              <w:t>службы по Ханты-Мансийскому</w:t>
                              <w:br/>
                              <w:t>автономному округу - Югре</w:t>
                              <w:br/>
                            </w:r>
                            <w:r>
                              <w:rPr>
                                <w:spacing w:val="0"/>
                                <w:w w:val="100"/>
                                <w:position w:val="0"/>
                                <w:shd w:val="clear" w:color="auto" w:fill="auto"/>
                                <w:lang w:val="ru-RU" w:eastAsia="ru-RU" w:bidi="ru-RU"/>
                              </w:rPr>
                              <w:t>ул. Мира, д. 27, Ханты-Мансийск, 628012</w:t>
                              <w:br/>
                              <w:t>телефон/факс +7 (3467) 38-80-81</w:t>
                              <w:br/>
                              <w:t>е-тай: 1о86@Га8.§оу.ги, сайт Нир://Ктао.1а8.ооу.ги</w:t>
                              <w:br/>
                              <w:t>ИНН 8601009316 КПП 860101001 ОГРН 1028600512093</w:t>
                            </w:r>
                          </w:p>
                          <w:p>
                            <w:pPr>
                              <w:pStyle w:val="Style2"/>
                              <w:keepNext w:val="0"/>
                              <w:keepLines w:val="0"/>
                              <w:widowControl w:val="0"/>
                              <w:shd w:val="clear" w:color="auto" w:fill="auto"/>
                              <w:tabs>
                                <w:tab w:leader="underscore" w:pos="1762" w:val="left"/>
                                <w:tab w:leader="underscore" w:pos="3931" w:val="left"/>
                              </w:tabs>
                              <w:bidi w:val="0"/>
                              <w:spacing w:before="0"/>
                              <w:ind w:left="0" w:right="0" w:firstLine="0"/>
                              <w:jc w:val="left"/>
                            </w:pPr>
                            <w:r>
                              <w:rPr>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50000000000001pt;margin-top:50.450000000000003pt;width:203.05000000000001pt;height:145.20000000000002pt;z-index:-125829374;mso-wrap-distance-left:9.pt;mso-wrap-distance-top:49.450000000000003pt;mso-wrap-distance-right:10.450000000000001pt;mso-wrap-distance-bottom:62.149999999999999pt;mso-position-horizontal-relative:page" filled="f" stroked="f">
                <v:textbox inset="0,0,0,0">
                  <w:txbxContent>
                    <w:p>
                      <w:pPr>
                        <w:pStyle w:val="Style2"/>
                        <w:keepNext w:val="0"/>
                        <w:keepLines w:val="0"/>
                        <w:widowControl w:val="0"/>
                        <w:shd w:val="clear" w:color="auto" w:fill="auto"/>
                        <w:bidi w:val="0"/>
                        <w:spacing w:before="0" w:line="307"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ind w:left="0" w:right="0" w:firstLine="0"/>
                        <w:jc w:val="center"/>
                      </w:pPr>
                      <w:r>
                        <w:rPr>
                          <w:b/>
                          <w:bCs/>
                          <w:spacing w:val="0"/>
                          <w:w w:val="100"/>
                          <w:position w:val="0"/>
                          <w:shd w:val="clear" w:color="auto" w:fill="auto"/>
                          <w:lang w:val="ru-RU" w:eastAsia="ru-RU" w:bidi="ru-RU"/>
                        </w:rPr>
                        <w:t>Федеральной антимонопольной</w:t>
                        <w:br/>
                        <w:t>службы по Ханты-Мансийскому</w:t>
                        <w:br/>
                        <w:t>автономному округу - Югре</w:t>
                        <w:br/>
                      </w:r>
                      <w:r>
                        <w:rPr>
                          <w:spacing w:val="0"/>
                          <w:w w:val="100"/>
                          <w:position w:val="0"/>
                          <w:shd w:val="clear" w:color="auto" w:fill="auto"/>
                          <w:lang w:val="ru-RU" w:eastAsia="ru-RU" w:bidi="ru-RU"/>
                        </w:rPr>
                        <w:t>ул. Мира, д. 27, Ханты-Мансийск, 628012</w:t>
                        <w:br/>
                        <w:t>телефон/факс +7 (3467) 38-80-81</w:t>
                        <w:br/>
                        <w:t>е-тай: 1о86@Га8.§оу.ги, сайт Нир://Ктао.1а8.ооу.ги</w:t>
                        <w:br/>
                        <w:t>ИНН 8601009316 КПП 860101001 ОГРН 1028600512093</w:t>
                      </w:r>
                    </w:p>
                    <w:p>
                      <w:pPr>
                        <w:pStyle w:val="Style2"/>
                        <w:keepNext w:val="0"/>
                        <w:keepLines w:val="0"/>
                        <w:widowControl w:val="0"/>
                        <w:shd w:val="clear" w:color="auto" w:fill="auto"/>
                        <w:tabs>
                          <w:tab w:leader="underscore" w:pos="1762" w:val="left"/>
                          <w:tab w:leader="underscore" w:pos="3931" w:val="left"/>
                        </w:tabs>
                        <w:bidi w:val="0"/>
                        <w:spacing w:before="0"/>
                        <w:ind w:left="0" w:right="0" w:firstLine="0"/>
                        <w:jc w:val="left"/>
                      </w:pPr>
                      <w:r>
                        <w:rPr>
                          <w:spacing w:val="0"/>
                          <w:w w:val="100"/>
                          <w:position w:val="0"/>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725170</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721995</wp:posOffset>
                </wp:positionH>
                <wp:positionV relativeFrom="paragraph">
                  <wp:posOffset>2658110</wp:posOffset>
                </wp:positionV>
                <wp:extent cx="2578735" cy="146050"/>
                <wp:wrapNone/>
                <wp:docPr id="7" name="Shape 7"/>
                <a:graphic xmlns:a="http://schemas.openxmlformats.org/drawingml/2006/main">
                  <a:graphicData uri="http://schemas.microsoft.com/office/word/2010/wordprocessingShape">
                    <wps:wsp>
                      <wps:cNvSpPr txBox="1"/>
                      <wps:spPr>
                        <a:xfrm>
                          <a:ext cx="2578735" cy="146050"/>
                        </a:xfrm>
                        <a:prstGeom prst="rect"/>
                        <a:noFill/>
                      </wps:spPr>
                      <wps:txbx>
                        <w:txbxContent>
                          <w:p>
                            <w:pPr>
                              <w:pStyle w:val="Style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3" type="#_x0000_t202" style="position:absolute;margin-left:56.850000000000001pt;margin-top:209.30000000000001pt;width:203.05000000000001pt;height:11.5pt;z-index:251657729;mso-wrap-distance-left:0;mso-wrap-distance-right:0;mso-position-horizontal-relative:page" filled="f" stroked="f">
                <v:textbox inset="0,0,0,0">
                  <w:txbxContent>
                    <w:p>
                      <w:pPr>
                        <w:pStyle w:val="Style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от</w:t>
                      </w:r>
                    </w:p>
                  </w:txbxContent>
                </v:textbox>
                <w10:wrap anchorx="page"/>
              </v:shape>
            </w:pict>
          </mc:Fallback>
        </mc:AlternateContent>
      </w:r>
      <w:r>
        <w:drawing>
          <wp:anchor distT="139700" distB="0" distL="114300" distR="114300" simplePos="0" relativeHeight="125829382" behindDoc="0" locked="0" layoutInCell="1" allowOverlap="1">
            <wp:simplePos x="0" y="0"/>
            <wp:positionH relativeFrom="page">
              <wp:posOffset>713105</wp:posOffset>
            </wp:positionH>
            <wp:positionV relativeFrom="paragraph">
              <wp:posOffset>9262745</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7650" cy="292735"/>
                    </a:xfrm>
                    <a:prstGeom prst="rect"/>
                  </pic:spPr>
                </pic:pic>
              </a:graphicData>
            </a:graphic>
          </wp:anchor>
        </w:drawing>
      </w:r>
    </w:p>
    <w:p>
      <w:pPr>
        <w:pStyle w:val="Style18"/>
        <w:keepNext/>
        <w:keepLines/>
        <w:widowControl w:val="0"/>
        <w:shd w:val="clear" w:color="auto" w:fill="auto"/>
        <w:bidi w:val="0"/>
        <w:spacing w:before="0" w:after="0" w:line="240" w:lineRule="auto"/>
        <w:ind w:left="5320" w:right="0" w:hanging="4300"/>
        <w:jc w:val="left"/>
      </w:pPr>
      <w:bookmarkStart w:id="4" w:name="bookmark4"/>
      <w:r>
        <w:rPr>
          <w:color w:val="000000"/>
          <w:spacing w:val="0"/>
          <w:w w:val="100"/>
          <w:position w:val="0"/>
          <w:sz w:val="24"/>
          <w:szCs w:val="24"/>
          <w:shd w:val="clear" w:color="auto" w:fill="auto"/>
          <w:lang w:val="ru-RU" w:eastAsia="ru-RU" w:bidi="ru-RU"/>
        </w:rPr>
        <w:t>Оператор электронной площадки:</w:t>
      </w:r>
      <w:bookmarkEnd w:id="4"/>
    </w:p>
    <w:p>
      <w:pPr>
        <w:pStyle w:val="Style7"/>
        <w:keepNext w:val="0"/>
        <w:keepLines w:val="0"/>
        <w:widowControl w:val="0"/>
        <w:shd w:val="clear" w:color="auto" w:fill="auto"/>
        <w:bidi w:val="0"/>
        <w:spacing w:before="0" w:after="0" w:line="240" w:lineRule="auto"/>
        <w:ind w:left="5320" w:right="0" w:hanging="4300"/>
        <w:jc w:val="left"/>
      </w:pPr>
      <w:r>
        <w:rPr>
          <w:color w:val="000000"/>
          <w:spacing w:val="0"/>
          <w:w w:val="100"/>
          <w:position w:val="0"/>
          <w:sz w:val="24"/>
          <w:szCs w:val="24"/>
          <w:shd w:val="clear" w:color="auto" w:fill="auto"/>
          <w:lang w:val="ru-RU" w:eastAsia="ru-RU" w:bidi="ru-RU"/>
        </w:rPr>
        <w:t>АО "ЕЭТП"</w:t>
      </w:r>
    </w:p>
    <w:p>
      <w:pPr>
        <w:pStyle w:val="Style7"/>
        <w:keepNext w:val="0"/>
        <w:keepLines w:val="0"/>
        <w:widowControl w:val="0"/>
        <w:shd w:val="clear" w:color="auto" w:fill="auto"/>
        <w:bidi w:val="0"/>
        <w:spacing w:before="0" w:after="0" w:line="240" w:lineRule="auto"/>
        <w:ind w:left="5320" w:right="0" w:hanging="4300"/>
        <w:jc w:val="left"/>
      </w:pPr>
      <w:r>
        <w:rPr>
          <w:color w:val="000000"/>
          <w:spacing w:val="0"/>
          <w:w w:val="100"/>
          <w:position w:val="0"/>
          <w:sz w:val="24"/>
          <w:szCs w:val="24"/>
          <w:shd w:val="clear" w:color="auto" w:fill="auto"/>
          <w:lang w:val="ru-RU" w:eastAsia="ru-RU" w:bidi="ru-RU"/>
        </w:rPr>
        <w:t>115114, Россия, Москва, ул. Кожевническая,</w:t>
      </w:r>
    </w:p>
    <w:p>
      <w:pPr>
        <w:pStyle w:val="Style7"/>
        <w:keepNext w:val="0"/>
        <w:keepLines w:val="0"/>
        <w:widowControl w:val="0"/>
        <w:shd w:val="clear" w:color="auto" w:fill="auto"/>
        <w:bidi w:val="0"/>
        <w:spacing w:before="0" w:after="0" w:line="240" w:lineRule="auto"/>
        <w:ind w:left="5320" w:right="0" w:hanging="4300"/>
        <w:jc w:val="left"/>
      </w:pPr>
      <w:r>
        <w:rPr>
          <w:color w:val="000000"/>
          <w:spacing w:val="0"/>
          <w:w w:val="100"/>
          <w:position w:val="0"/>
          <w:sz w:val="24"/>
          <w:szCs w:val="24"/>
          <w:shd w:val="clear" w:color="auto" w:fill="auto"/>
          <w:lang w:val="ru-RU" w:eastAsia="ru-RU" w:bidi="ru-RU"/>
        </w:rPr>
        <w:t>14, стр. 5.</w:t>
      </w:r>
    </w:p>
    <w:p>
      <w:pPr>
        <w:pStyle w:val="Style7"/>
        <w:keepNext w:val="0"/>
        <w:keepLines w:val="0"/>
        <w:widowControl w:val="0"/>
        <w:shd w:val="clear" w:color="auto" w:fill="auto"/>
        <w:bidi w:val="0"/>
        <w:spacing w:before="0" w:after="0" w:line="240" w:lineRule="auto"/>
        <w:ind w:left="5320" w:right="0" w:hanging="4300"/>
        <w:jc w:val="left"/>
      </w:pPr>
      <w:r>
        <w:rPr>
          <w:color w:val="000000"/>
          <w:spacing w:val="0"/>
          <w:w w:val="100"/>
          <w:position w:val="0"/>
          <w:sz w:val="24"/>
          <w:szCs w:val="24"/>
          <w:shd w:val="clear" w:color="auto" w:fill="auto"/>
          <w:lang w:val="ru-RU" w:eastAsia="ru-RU" w:bidi="ru-RU"/>
        </w:rPr>
        <w:t>тел.: (495) 5424020, 2761626</w:t>
      </w:r>
    </w:p>
    <w:p>
      <w:pPr>
        <w:pStyle w:val="Style7"/>
        <w:keepNext w:val="0"/>
        <w:keepLines w:val="0"/>
        <w:widowControl w:val="0"/>
        <w:shd w:val="clear" w:color="auto" w:fill="auto"/>
        <w:bidi w:val="0"/>
        <w:spacing w:before="0" w:after="240" w:line="240" w:lineRule="auto"/>
        <w:ind w:left="5320" w:right="0" w:hanging="4300"/>
        <w:jc w:val="left"/>
      </w:pPr>
      <w:r>
        <w:rPr>
          <w:color w:val="000000"/>
          <w:spacing w:val="0"/>
          <w:w w:val="100"/>
          <w:position w:val="0"/>
          <w:sz w:val="24"/>
          <w:szCs w:val="24"/>
          <w:shd w:val="clear" w:color="auto" w:fill="auto"/>
          <w:lang w:val="ru-RU" w:eastAsia="ru-RU" w:bidi="ru-RU"/>
        </w:rPr>
        <w:t>е-таП: ко@гозе11огд.ш</w:t>
      </w:r>
    </w:p>
    <w:p>
      <w:pPr>
        <w:pStyle w:val="Style18"/>
        <w:keepNext/>
        <w:keepLines/>
        <w:widowControl w:val="0"/>
        <w:shd w:val="clear" w:color="auto" w:fill="auto"/>
        <w:bidi w:val="0"/>
        <w:spacing w:before="0" w:after="0" w:line="240" w:lineRule="auto"/>
        <w:ind w:left="5320" w:right="0" w:hanging="4300"/>
        <w:jc w:val="left"/>
      </w:pPr>
      <w:bookmarkStart w:id="6" w:name="bookmark6"/>
      <w:r>
        <w:rPr>
          <w:color w:val="000000"/>
          <w:spacing w:val="0"/>
          <w:w w:val="100"/>
          <w:position w:val="0"/>
          <w:sz w:val="24"/>
          <w:szCs w:val="24"/>
          <w:shd w:val="clear" w:color="auto" w:fill="auto"/>
          <w:lang w:val="ru-RU" w:eastAsia="ru-RU" w:bidi="ru-RU"/>
        </w:rPr>
        <w:t>Заявитель:</w:t>
      </w:r>
      <w:bookmarkEnd w:id="6"/>
    </w:p>
    <w:p>
      <w:pPr>
        <w:pStyle w:val="Style7"/>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Общество с ограниченной ответственностью "Янтарный берег"</w:t>
      </w:r>
    </w:p>
    <w:p>
      <w:pPr>
        <w:pStyle w:val="Style7"/>
        <w:keepNext w:val="0"/>
        <w:keepLines w:val="0"/>
        <w:widowControl w:val="0"/>
        <w:shd w:val="clear" w:color="auto" w:fill="auto"/>
        <w:bidi w:val="0"/>
        <w:spacing w:before="0" w:after="0" w:line="240" w:lineRule="auto"/>
        <w:ind w:left="5320" w:right="0" w:hanging="4300"/>
        <w:jc w:val="left"/>
      </w:pPr>
      <w:r>
        <w:rPr>
          <w:color w:val="000000"/>
          <w:spacing w:val="0"/>
          <w:w w:val="100"/>
          <w:position w:val="0"/>
          <w:sz w:val="24"/>
          <w:szCs w:val="24"/>
          <w:shd w:val="clear" w:color="auto" w:fill="auto"/>
          <w:lang w:val="ru-RU" w:eastAsia="ru-RU" w:bidi="ru-RU"/>
        </w:rPr>
        <w:t>299038, г. Севастополь, пр-кт Октябрьской</w:t>
      </w:r>
    </w:p>
    <w:p>
      <w:pPr>
        <w:pStyle w:val="Style7"/>
        <w:keepNext w:val="0"/>
        <w:keepLines w:val="0"/>
        <w:widowControl w:val="0"/>
        <w:shd w:val="clear" w:color="auto" w:fill="auto"/>
        <w:bidi w:val="0"/>
        <w:spacing w:before="0" w:after="240" w:line="240" w:lineRule="auto"/>
        <w:ind w:left="5320" w:right="0" w:hanging="4300"/>
        <w:jc w:val="left"/>
      </w:pPr>
      <w:r>
        <w:rPr>
          <w:color w:val="000000"/>
          <w:spacing w:val="0"/>
          <w:w w:val="100"/>
          <w:position w:val="0"/>
          <w:sz w:val="24"/>
          <w:szCs w:val="24"/>
          <w:shd w:val="clear" w:color="auto" w:fill="auto"/>
          <w:lang w:val="ru-RU" w:eastAsia="ru-RU" w:bidi="ru-RU"/>
        </w:rPr>
        <w:t>Революции, д. 40/6, офис 1</w:t>
      </w:r>
    </w:p>
    <w:p>
      <w:pPr>
        <w:pStyle w:val="Style18"/>
        <w:keepNext/>
        <w:keepLines/>
        <w:widowControl w:val="0"/>
        <w:shd w:val="clear" w:color="auto" w:fill="auto"/>
        <w:bidi w:val="0"/>
        <w:spacing w:before="0" w:after="0" w:line="240" w:lineRule="auto"/>
        <w:ind w:left="5320" w:right="0" w:hanging="4300"/>
        <w:jc w:val="left"/>
      </w:pPr>
      <w:bookmarkStart w:id="8" w:name="bookmark8"/>
      <w:r>
        <w:rPr>
          <w:color w:val="000000"/>
          <w:spacing w:val="0"/>
          <w:w w:val="100"/>
          <w:position w:val="0"/>
          <w:sz w:val="24"/>
          <w:szCs w:val="24"/>
          <w:shd w:val="clear" w:color="auto" w:fill="auto"/>
          <w:lang w:val="ru-RU" w:eastAsia="ru-RU" w:bidi="ru-RU"/>
        </w:rPr>
        <w:t>Заказчик:</w:t>
      </w:r>
      <w:bookmarkEnd w:id="8"/>
    </w:p>
    <w:p>
      <w:pPr>
        <w:pStyle w:val="Style7"/>
        <w:keepNext w:val="0"/>
        <w:keepLines w:val="0"/>
        <w:widowControl w:val="0"/>
        <w:shd w:val="clear" w:color="auto" w:fill="auto"/>
        <w:bidi w:val="0"/>
        <w:spacing w:before="0" w:after="0" w:line="240" w:lineRule="auto"/>
        <w:ind w:left="5320" w:right="0" w:hanging="4300"/>
        <w:jc w:val="left"/>
      </w:pPr>
      <w:r>
        <w:rPr>
          <w:color w:val="000000"/>
          <w:spacing w:val="0"/>
          <w:w w:val="100"/>
          <w:position w:val="0"/>
          <w:sz w:val="24"/>
          <w:szCs w:val="24"/>
          <w:shd w:val="clear" w:color="auto" w:fill="auto"/>
          <w:lang w:val="ru-RU" w:eastAsia="ru-RU" w:bidi="ru-RU"/>
        </w:rPr>
        <w:t>Департамент социального развития Ханты-</w:t>
      </w:r>
    </w:p>
    <w:p>
      <w:pPr>
        <w:pStyle w:val="Style7"/>
        <w:keepNext w:val="0"/>
        <w:keepLines w:val="0"/>
        <w:widowControl w:val="0"/>
        <w:shd w:val="clear" w:color="auto" w:fill="auto"/>
        <w:bidi w:val="0"/>
        <w:spacing w:before="0" w:after="240" w:line="240" w:lineRule="auto"/>
        <w:ind w:left="5320" w:right="0" w:hanging="4300"/>
        <w:jc w:val="left"/>
      </w:pPr>
      <w:r>
        <w:rPr>
          <w:color w:val="000000"/>
          <w:spacing w:val="0"/>
          <w:w w:val="100"/>
          <w:position w:val="0"/>
          <w:sz w:val="24"/>
          <w:szCs w:val="24"/>
          <w:shd w:val="clear" w:color="auto" w:fill="auto"/>
          <w:lang w:val="ru-RU" w:eastAsia="ru-RU" w:bidi="ru-RU"/>
        </w:rPr>
        <w:t>Мансийского автономного округа — Югры 628006, Ханты-Мансийский автономный округ - Югра , г. Ханты-Мансийск, ул. Мира, д. 5</w:t>
      </w:r>
    </w:p>
    <w:p>
      <w:pPr>
        <w:pStyle w:val="Style18"/>
        <w:keepNext/>
        <w:keepLines/>
        <w:widowControl w:val="0"/>
        <w:shd w:val="clear" w:color="auto" w:fill="auto"/>
        <w:bidi w:val="0"/>
        <w:spacing w:before="0" w:after="0" w:line="240" w:lineRule="auto"/>
        <w:ind w:left="5320" w:right="0" w:firstLine="0"/>
        <w:jc w:val="left"/>
      </w:pPr>
      <w:bookmarkStart w:id="10" w:name="bookmark10"/>
      <w:r>
        <w:rPr>
          <w:color w:val="000000"/>
          <w:spacing w:val="0"/>
          <w:w w:val="100"/>
          <w:position w:val="0"/>
          <w:sz w:val="24"/>
          <w:szCs w:val="24"/>
          <w:shd w:val="clear" w:color="auto" w:fill="auto"/>
          <w:lang w:val="ru-RU" w:eastAsia="ru-RU" w:bidi="ru-RU"/>
        </w:rPr>
        <w:t>Уполномоченный орган:</w:t>
      </w:r>
      <w:bookmarkEnd w:id="10"/>
    </w:p>
    <w:p>
      <w:pPr>
        <w:pStyle w:val="Style7"/>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Департамент государственного заказа Ханты-</w:t>
      </w:r>
    </w:p>
    <w:p>
      <w:pPr>
        <w:pStyle w:val="Style7"/>
        <w:keepNext w:val="0"/>
        <w:keepLines w:val="0"/>
        <w:widowControl w:val="0"/>
        <w:shd w:val="clear" w:color="auto" w:fill="auto"/>
        <w:bidi w:val="0"/>
        <w:spacing w:before="0" w:after="840" w:line="240" w:lineRule="auto"/>
        <w:ind w:left="5320" w:right="0" w:firstLine="0"/>
        <w:jc w:val="left"/>
      </w:pPr>
      <w:r>
        <w:rPr>
          <w:color w:val="000000"/>
          <w:spacing w:val="0"/>
          <w:w w:val="100"/>
          <w:position w:val="0"/>
          <w:sz w:val="24"/>
          <w:szCs w:val="24"/>
          <w:shd w:val="clear" w:color="auto" w:fill="auto"/>
          <w:lang w:val="ru-RU" w:eastAsia="ru-RU" w:bidi="ru-RU"/>
        </w:rPr>
        <w:t>Мансийского автономного округа — Югры 628011, Ханты-Мансийский автономный округ - Югра, г. Ханты-Мансийск, ул Мира, д. 14а</w:t>
      </w:r>
    </w:p>
    <w:p>
      <w:pPr>
        <w:pStyle w:val="Style18"/>
        <w:keepNext/>
        <w:keepLines/>
        <w:widowControl w:val="0"/>
        <w:shd w:val="clear" w:color="auto" w:fill="auto"/>
        <w:bidi w:val="0"/>
        <w:spacing w:before="0" w:after="240" w:line="240" w:lineRule="auto"/>
        <w:ind w:left="0" w:right="0" w:firstLine="0"/>
        <w:jc w:val="center"/>
      </w:pPr>
      <w:bookmarkStart w:id="12" w:name="bookmark12"/>
      <w:r>
        <w:rPr>
          <w:color w:val="000000"/>
          <w:spacing w:val="0"/>
          <w:w w:val="100"/>
          <w:position w:val="0"/>
          <w:sz w:val="24"/>
          <w:szCs w:val="24"/>
          <w:shd w:val="clear" w:color="auto" w:fill="auto"/>
          <w:lang w:val="ru-RU" w:eastAsia="ru-RU" w:bidi="ru-RU"/>
        </w:rPr>
        <w:t>РЕШЕНИЕ № 086/06/31-1546/2024</w:t>
      </w:r>
      <w:bookmarkEnd w:id="12"/>
    </w:p>
    <w:p>
      <w:pPr>
        <w:pStyle w:val="Style7"/>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3" behindDoc="0" locked="0" layoutInCell="1" allowOverlap="1">
                <wp:simplePos x="0" y="0"/>
                <wp:positionH relativeFrom="page">
                  <wp:posOffset>5666105</wp:posOffset>
                </wp:positionH>
                <wp:positionV relativeFrom="paragraph">
                  <wp:posOffset>12700</wp:posOffset>
                </wp:positionV>
                <wp:extent cx="1286510" cy="219710"/>
                <wp:wrapSquare wrapText="left"/>
                <wp:docPr id="11" name="Shape 11"/>
                <a:graphic xmlns:a="http://schemas.openxmlformats.org/drawingml/2006/main">
                  <a:graphicData uri="http://schemas.microsoft.com/office/word/2010/wordprocessingShape">
                    <wps:wsp>
                      <wps:cNvSpPr txBox="1"/>
                      <wps:spPr>
                        <a:xfrm>
                          <a:ext cx="1286510" cy="2197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Ханты-Мансийск</w:t>
                            </w:r>
                          </w:p>
                        </w:txbxContent>
                      </wps:txbx>
                      <wps:bodyPr wrap="none" lIns="0" tIns="0" rIns="0" bIns="0">
                        <a:noAutoFit/>
                      </wps:bodyPr>
                    </wps:wsp>
                  </a:graphicData>
                </a:graphic>
              </wp:anchor>
            </w:drawing>
          </mc:Choice>
          <mc:Fallback>
            <w:pict>
              <v:shape id="_x0000_s1037" type="#_x0000_t202" style="position:absolute;margin-left:446.15000000000003pt;margin-top:1.pt;width:101.3pt;height:17.300000000000001pt;z-index:-125829370;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Ханты-Мансийск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Резолютивная часть объявлена 27.09.2024</w:t>
      </w:r>
    </w:p>
    <w:p>
      <w:pPr>
        <w:pStyle w:val="Style7"/>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Изготовлено в полном объеме 02.10.2024</w:t>
      </w:r>
    </w:p>
    <w:p>
      <w:pPr>
        <w:pStyle w:val="Style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r>
    </w:p>
    <w:p>
      <w:pPr>
        <w:pStyle w:val="Style7"/>
        <w:keepNext w:val="0"/>
        <w:keepLines w:val="0"/>
        <w:widowControl w:val="0"/>
        <w:numPr>
          <w:ilvl w:val="0"/>
          <w:numId w:val="1"/>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Валиуллин Р.Р. - Заместитель руководителя Управления;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Членов комиссии:</w:t>
      </w:r>
    </w:p>
    <w:p>
      <w:pPr>
        <w:pStyle w:val="Style7"/>
        <w:keepNext w:val="0"/>
        <w:keepLines w:val="0"/>
        <w:widowControl w:val="0"/>
        <w:numPr>
          <w:ilvl w:val="0"/>
          <w:numId w:val="1"/>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Иванчикова Е.А. - Начальник отдела Управления;</w:t>
      </w:r>
    </w:p>
    <w:p>
      <w:pPr>
        <w:pStyle w:val="Style7"/>
        <w:keepNext w:val="0"/>
        <w:keepLines w:val="0"/>
        <w:widowControl w:val="0"/>
        <w:numPr>
          <w:ilvl w:val="0"/>
          <w:numId w:val="1"/>
        </w:numPr>
        <w:shd w:val="clear" w:color="auto" w:fill="auto"/>
        <w:tabs>
          <w:tab w:pos="982"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Смоль М.С.- Эксперт отдела Управления,</w:t>
      </w:r>
    </w:p>
    <w:p>
      <w:pPr>
        <w:pStyle w:val="Style7"/>
        <w:keepNext w:val="0"/>
        <w:keepLines w:val="0"/>
        <w:widowControl w:val="0"/>
        <w:numPr>
          <w:ilvl w:val="0"/>
          <w:numId w:val="1"/>
        </w:numPr>
        <w:shd w:val="clear" w:color="auto" w:fill="auto"/>
        <w:tabs>
          <w:tab w:pos="101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 Заявителя - посредством видеоконференц-связи Кимпицкий В.С. по доверенности № 5 от 23.09.2024 г.;</w:t>
      </w:r>
    </w:p>
    <w:p>
      <w:pPr>
        <w:pStyle w:val="Style7"/>
        <w:keepNext w:val="0"/>
        <w:keepLines w:val="0"/>
        <w:widowControl w:val="0"/>
        <w:numPr>
          <w:ilvl w:val="0"/>
          <w:numId w:val="1"/>
        </w:numPr>
        <w:shd w:val="clear" w:color="auto" w:fill="auto"/>
        <w:tabs>
          <w:tab w:pos="102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 Заказчика - посредством видеоконференц-связи Мелен Д.Д. по доверенности № 60 от 26.09.2024 г.;</w:t>
      </w:r>
    </w:p>
    <w:p>
      <w:pPr>
        <w:pStyle w:val="Style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от Уполномоченного органа - посредством видеоконференц-связи Пойлова Е.А. по доверен</w:t>
        <w:softHyphen/>
        <w:t>ности № 2 от 09.01.2024 г.,</w:t>
      </w:r>
    </w:p>
    <w:p>
      <w:pPr>
        <w:pStyle w:val="Style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жалобу общества с ограниченной ответственностью "Янтарный берег" (ИНН: 9201010887; ОГРН: 1149204032966) от 24.09.2024 № 9528/24, на действия Заказчика - Департамен</w:t>
        <w:softHyphen/>
        <w:t>та социального развития Ханты-Мансийского автономного округа — Югры, Уполномоченного ор</w:t>
        <w:softHyphen/>
        <w:t>гана - Департамент государственного заказа Ханты-Мансийского автономного округа — Югры при проведении открытого конкурса в электронной форме, предметом которого является оказание услуг по организации отдыха и оздоровления детей в оздоровительной организации Краснодарско</w:t>
        <w:softHyphen/>
        <w:t>го края (Туапсинский район) (извещение № 0187200001724001818)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8"/>
        <w:keepNext/>
        <w:keepLines/>
        <w:widowControl w:val="0"/>
        <w:shd w:val="clear" w:color="auto" w:fill="auto"/>
        <w:bidi w:val="0"/>
        <w:spacing w:before="0" w:after="24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УСТАНОВИЛА:</w:t>
      </w:r>
      <w:bookmarkEnd w:id="14"/>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общества с ограниченной ответственностью "Янтарный берег" (ИНН: 9201010887; ОГРН: 1149204032966) от 24.09.2024 № 9528/24, на действия Заказчика - Департамента социального развития Ханты-Мансийского автономного округа — Югры, Уполномоченного органа - Департамент государственного заказа Ханты-Мансийского автономного округа — Югры при проведении открытого конкурса в электронной форме, предметом которого является оказание услуг по организации отдыха и оздоровления детей в оздоровительной организации Краснодарского края (Туапсинский район) (извещение № 0187200001724001818).</w:t>
      </w:r>
    </w:p>
    <w:p>
      <w:pPr>
        <w:pStyle w:val="Style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доводе жалобы Заявитель указал следующее: Характеристика квалификации участников закупки, ввиду отсутствия предельных максимальных значений,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 заявок не корреспондируется с положениями Положения, установленного Постановлением Правительства РФ от 31.12.2021 ^ 2604.</w:t>
      </w:r>
    </w:p>
    <w:p>
      <w:pPr>
        <w:pStyle w:val="Style18"/>
        <w:keepNext/>
        <w:keepLines/>
        <w:widowControl w:val="0"/>
        <w:shd w:val="clear" w:color="auto" w:fill="auto"/>
        <w:bidi w:val="0"/>
        <w:spacing w:before="0" w:after="0" w:line="240" w:lineRule="auto"/>
        <w:ind w:left="0" w:right="0" w:firstLine="720"/>
        <w:jc w:val="both"/>
      </w:pPr>
      <w:bookmarkStart w:id="16" w:name="bookmark16"/>
      <w:r>
        <w:rPr>
          <w:color w:val="000000"/>
          <w:spacing w:val="0"/>
          <w:w w:val="100"/>
          <w:position w:val="0"/>
          <w:sz w:val="24"/>
          <w:szCs w:val="24"/>
          <w:shd w:val="clear" w:color="auto" w:fill="auto"/>
          <w:lang w:val="ru-RU" w:eastAsia="ru-RU" w:bidi="ru-RU"/>
        </w:rPr>
        <w:t>В ходе рассмотрения доводов сторон, материалов дела, Комиссией Управления установлено следующее.</w:t>
      </w:r>
      <w:bookmarkEnd w:id="16"/>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1 статьи 32 Закона о контрактной системе для оценки заявок участников закупки заказчик использует следующие критерии:</w:t>
      </w:r>
    </w:p>
    <w:p>
      <w:pPr>
        <w:pStyle w:val="Style7"/>
        <w:keepNext w:val="0"/>
        <w:keepLines w:val="0"/>
        <w:widowControl w:val="0"/>
        <w:numPr>
          <w:ilvl w:val="0"/>
          <w:numId w:val="3"/>
        </w:numPr>
        <w:shd w:val="clear" w:color="auto" w:fill="auto"/>
        <w:tabs>
          <w:tab w:pos="102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7"/>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расходы на эксплуатацию и ремонт товаров, использование результатов работ;</w:t>
      </w:r>
    </w:p>
    <w:p>
      <w:pPr>
        <w:pStyle w:val="Style7"/>
        <w:keepNext w:val="0"/>
        <w:keepLines w:val="0"/>
        <w:widowControl w:val="0"/>
        <w:numPr>
          <w:ilvl w:val="0"/>
          <w:numId w:val="3"/>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качественные, функциональные и экологические характеристики объекта закупки;</w:t>
      </w:r>
    </w:p>
    <w:p>
      <w:pPr>
        <w:pStyle w:val="Style7"/>
        <w:keepNext w:val="0"/>
        <w:keepLines w:val="0"/>
        <w:widowControl w:val="0"/>
        <w:numPr>
          <w:ilvl w:val="0"/>
          <w:numId w:val="3"/>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Частью 8 статьи 32 Закона о контрактной системе установлено, что порядок оценки заявок участников закупки, в том числе предельные величины значимости каждого критерия,</w:t>
        <w:br w:type="page"/>
      </w:r>
      <w:r>
        <w:rPr>
          <w:color w:val="000000"/>
          <w:spacing w:val="0"/>
          <w:w w:val="100"/>
          <w:position w:val="0"/>
          <w:sz w:val="24"/>
          <w:szCs w:val="24"/>
          <w:shd w:val="clear" w:color="auto" w:fill="auto"/>
          <w:lang w:val="ru-RU" w:eastAsia="ru-RU" w:bidi="ru-RU"/>
        </w:rPr>
        <w:t>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7"/>
        <w:keepNext w:val="0"/>
        <w:keepLines w:val="0"/>
        <w:widowControl w:val="0"/>
        <w:numPr>
          <w:ilvl w:val="0"/>
          <w:numId w:val="5"/>
        </w:numPr>
        <w:shd w:val="clear" w:color="auto" w:fill="auto"/>
        <w:tabs>
          <w:tab w:pos="102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финансовых ресурсов;</w:t>
      </w:r>
    </w:p>
    <w:p>
      <w:pPr>
        <w:pStyle w:val="Style7"/>
        <w:keepNext w:val="0"/>
        <w:keepLines w:val="0"/>
        <w:widowControl w:val="0"/>
        <w:numPr>
          <w:ilvl w:val="0"/>
          <w:numId w:val="5"/>
        </w:numPr>
        <w:shd w:val="clear" w:color="auto" w:fill="auto"/>
        <w:tabs>
          <w:tab w:pos="103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7"/>
        <w:keepNext w:val="0"/>
        <w:keepLines w:val="0"/>
        <w:widowControl w:val="0"/>
        <w:numPr>
          <w:ilvl w:val="0"/>
          <w:numId w:val="5"/>
        </w:numPr>
        <w:shd w:val="clear" w:color="auto" w:fill="auto"/>
        <w:tabs>
          <w:tab w:pos="103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7"/>
        <w:keepNext w:val="0"/>
        <w:keepLines w:val="0"/>
        <w:widowControl w:val="0"/>
        <w:numPr>
          <w:ilvl w:val="0"/>
          <w:numId w:val="5"/>
        </w:numPr>
        <w:shd w:val="clear" w:color="auto" w:fill="auto"/>
        <w:tabs>
          <w:tab w:pos="102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деловой репутации;</w:t>
      </w:r>
    </w:p>
    <w:p>
      <w:pPr>
        <w:pStyle w:val="Style7"/>
        <w:keepNext w:val="0"/>
        <w:keepLines w:val="0"/>
        <w:widowControl w:val="0"/>
        <w:numPr>
          <w:ilvl w:val="0"/>
          <w:numId w:val="5"/>
        </w:numPr>
        <w:shd w:val="clear" w:color="auto" w:fill="auto"/>
        <w:tabs>
          <w:tab w:pos="103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Абзацем 3 подпункта "в" пункта 28 Положения установлено, что в случае применения показателя оценки, предусмотренного подпунктом "в" пункта 24 Положения, документом, предусмотренным приложением ^ 1 к Положению,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8"/>
        <w:keepNext/>
        <w:keepLines/>
        <w:widowControl w:val="0"/>
        <w:shd w:val="clear" w:color="auto" w:fill="auto"/>
        <w:bidi w:val="0"/>
        <w:spacing w:before="0" w:after="0" w:line="240" w:lineRule="auto"/>
        <w:ind w:left="0" w:right="0" w:firstLine="720"/>
        <w:jc w:val="both"/>
      </w:pPr>
      <w:bookmarkStart w:id="18" w:name="bookmark18"/>
      <w:r>
        <w:rPr>
          <w:color w:val="000000"/>
          <w:spacing w:val="0"/>
          <w:w w:val="100"/>
          <w:position w:val="0"/>
          <w:sz w:val="24"/>
          <w:szCs w:val="24"/>
          <w:shd w:val="clear" w:color="auto" w:fill="auto"/>
          <w:lang w:val="ru-RU" w:eastAsia="ru-RU" w:bidi="ru-RU"/>
        </w:rPr>
        <w:t>Относительно довода жалобы Комиссия Управления поясняет следующее.</w:t>
      </w:r>
      <w:bookmarkEnd w:id="18"/>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проанализировав положения извещения, установила, что согласно порядку рассмотрения и оценки заявок на участие в конкурсе по закупке № 0187200001724001818 оценка заявок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осуществляется по формуле, предусмотренной подпунктом "б" пункта 20 раздела V Положения.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Критериях оценки заявок по детализирующему показателю показателя «наличие у участников закупки опыта работы, связанного с предметом контракта» в рамках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Заказчиком установлено, в том числе следующее:</w:t>
      </w:r>
    </w:p>
    <w:p>
      <w:pPr>
        <w:pStyle w:val="Style7"/>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"характеристика квалификации участников закупки № 1 наибольшая цена одного из исполненных участником закупки договоров (контрактов)</w:t>
      </w:r>
    </w:p>
    <w:p>
      <w:pPr>
        <w:widowControl w:val="0"/>
        <w:spacing w:line="1" w:lineRule="exact"/>
      </w:pPr>
      <w:r>
        <mc:AlternateContent>
          <mc:Choice Requires="wps">
            <w:drawing>
              <wp:anchor distT="113030" distB="73025" distL="0" distR="0" simplePos="0" relativeHeight="125829385" behindDoc="0" locked="0" layoutInCell="1" allowOverlap="1">
                <wp:simplePos x="0" y="0"/>
                <wp:positionH relativeFrom="page">
                  <wp:posOffset>2759710</wp:posOffset>
                </wp:positionH>
                <wp:positionV relativeFrom="paragraph">
                  <wp:posOffset>113030</wp:posOffset>
                </wp:positionV>
                <wp:extent cx="1334770" cy="417830"/>
                <wp:wrapTopAndBottom/>
                <wp:docPr id="13" name="Shape 13"/>
                <a:graphic xmlns:a="http://schemas.openxmlformats.org/drawingml/2006/main">
                  <a:graphicData uri="http://schemas.microsoft.com/office/word/2010/wordprocessingShape">
                    <wps:wsp>
                      <wps:cNvSpPr txBox="1"/>
                      <wps:spPr>
                        <a:xfrm>
                          <a:ext cx="1334770" cy="417830"/>
                        </a:xfrm>
                        <a:prstGeom prst="rect"/>
                        <a:noFill/>
                      </wps:spPr>
                      <wps:txbx>
                        <w:txbxContent>
                          <w:p>
                            <w:pPr>
                              <w:pStyle w:val="Style9"/>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БХ=</w:t>
                            </w:r>
                            <w:r>
                              <w:rPr>
                                <w:b/>
                                <w:bCs/>
                                <w:color w:val="000000"/>
                                <w:spacing w:val="0"/>
                                <w:w w:val="100"/>
                                <w:position w:val="0"/>
                                <w:sz w:val="44"/>
                                <w:szCs w:val="44"/>
                                <w:shd w:val="clear" w:color="auto" w:fill="auto"/>
                                <w:lang w:val="ru-RU" w:eastAsia="ru-RU" w:bidi="ru-RU"/>
                              </w:rPr>
                              <w:t>(</w:t>
                            </w:r>
                            <w:r>
                              <w:rPr>
                                <w:color w:val="000000"/>
                                <w:spacing w:val="0"/>
                                <w:w w:val="100"/>
                                <w:position w:val="0"/>
                                <w:shd w:val="clear" w:color="auto" w:fill="auto"/>
                                <w:lang w:val="ru-RU" w:eastAsia="ru-RU" w:bidi="ru-RU"/>
                              </w:rPr>
                              <w:t xml:space="preserve">Х </w:t>
                            </w:r>
                            <w:r>
                              <w:rPr>
                                <w:i/>
                                <w:iCs/>
                                <w:color w:val="000000"/>
                                <w:spacing w:val="0"/>
                                <w:w w:val="100"/>
                                <w:position w:val="0"/>
                                <w:shd w:val="clear" w:color="auto" w:fill="auto"/>
                                <w:lang w:val="ru-RU" w:eastAsia="ru-RU" w:bidi="ru-RU"/>
                              </w:rPr>
                              <w:t>--Х</w:t>
                            </w:r>
                            <w:r>
                              <w:rPr>
                                <w:i/>
                                <w:iCs/>
                                <w:color w:val="000000"/>
                                <w:spacing w:val="0"/>
                                <w:w w:val="100"/>
                                <w:position w:val="0"/>
                                <w:sz w:val="19"/>
                                <w:szCs w:val="19"/>
                                <w:shd w:val="clear" w:color="auto" w:fill="auto"/>
                                <w:lang w:val="ru-RU" w:eastAsia="ru-RU" w:bidi="ru-RU"/>
                              </w:rPr>
                              <w:t>тп</w:t>
                            </w:r>
                            <w:r>
                              <w:rPr>
                                <w:b/>
                                <w:bCs/>
                                <w:color w:val="000000"/>
                                <w:spacing w:val="0"/>
                                <w:w w:val="100"/>
                                <w:position w:val="0"/>
                                <w:sz w:val="44"/>
                                <w:szCs w:val="44"/>
                                <w:shd w:val="clear" w:color="auto" w:fill="auto"/>
                                <w:lang w:val="ru-RU" w:eastAsia="ru-RU" w:bidi="ru-RU"/>
                              </w:rPr>
                              <w:t xml:space="preserve">) </w:t>
                            </w:r>
                            <w:r>
                              <w:rPr>
                                <w:color w:val="000000"/>
                                <w:spacing w:val="0"/>
                                <w:w w:val="100"/>
                                <w:position w:val="0"/>
                                <w:shd w:val="clear" w:color="auto" w:fill="auto"/>
                                <w:lang w:val="ru-RU" w:eastAsia="ru-RU" w:bidi="ru-RU"/>
                              </w:rPr>
                              <w:t>*</w:t>
                            </w:r>
                            <w:bookmarkEnd w:id="0"/>
                          </w:p>
                        </w:txbxContent>
                      </wps:txbx>
                      <wps:bodyPr wrap="none" lIns="0" tIns="0" rIns="0" bIns="0">
                        <a:noAutoFit/>
                      </wps:bodyPr>
                    </wps:wsp>
                  </a:graphicData>
                </a:graphic>
              </wp:anchor>
            </w:drawing>
          </mc:Choice>
          <mc:Fallback>
            <w:pict>
              <v:shape id="_x0000_s1039" type="#_x0000_t202" style="position:absolute;margin-left:217.30000000000001pt;margin-top:8.9000000000000004pt;width:105.10000000000001pt;height:32.899999999999999pt;z-index:-125829368;mso-wrap-distance-left:0;mso-wrap-distance-top:8.9000000000000004pt;mso-wrap-distance-right:0;mso-wrap-distance-bottom:5.75pt;mso-position-horizontal-relative:page" filled="f" stroked="f">
                <v:textbox inset="0,0,0,0">
                  <w:txbxContent>
                    <w:p>
                      <w:pPr>
                        <w:pStyle w:val="Style9"/>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БХ=</w:t>
                      </w:r>
                      <w:r>
                        <w:rPr>
                          <w:b/>
                          <w:bCs/>
                          <w:color w:val="000000"/>
                          <w:spacing w:val="0"/>
                          <w:w w:val="100"/>
                          <w:position w:val="0"/>
                          <w:sz w:val="44"/>
                          <w:szCs w:val="44"/>
                          <w:shd w:val="clear" w:color="auto" w:fill="auto"/>
                          <w:lang w:val="ru-RU" w:eastAsia="ru-RU" w:bidi="ru-RU"/>
                        </w:rPr>
                        <w:t>(</w:t>
                      </w:r>
                      <w:r>
                        <w:rPr>
                          <w:color w:val="000000"/>
                          <w:spacing w:val="0"/>
                          <w:w w:val="100"/>
                          <w:position w:val="0"/>
                          <w:shd w:val="clear" w:color="auto" w:fill="auto"/>
                          <w:lang w:val="ru-RU" w:eastAsia="ru-RU" w:bidi="ru-RU"/>
                        </w:rPr>
                        <w:t xml:space="preserve">Х </w:t>
                      </w:r>
                      <w:r>
                        <w:rPr>
                          <w:i/>
                          <w:iCs/>
                          <w:color w:val="000000"/>
                          <w:spacing w:val="0"/>
                          <w:w w:val="100"/>
                          <w:position w:val="0"/>
                          <w:shd w:val="clear" w:color="auto" w:fill="auto"/>
                          <w:lang w:val="ru-RU" w:eastAsia="ru-RU" w:bidi="ru-RU"/>
                        </w:rPr>
                        <w:t>--Х</w:t>
                      </w:r>
                      <w:r>
                        <w:rPr>
                          <w:i/>
                          <w:iCs/>
                          <w:color w:val="000000"/>
                          <w:spacing w:val="0"/>
                          <w:w w:val="100"/>
                          <w:position w:val="0"/>
                          <w:sz w:val="19"/>
                          <w:szCs w:val="19"/>
                          <w:shd w:val="clear" w:color="auto" w:fill="auto"/>
                          <w:lang w:val="ru-RU" w:eastAsia="ru-RU" w:bidi="ru-RU"/>
                        </w:rPr>
                        <w:t>тп</w:t>
                      </w:r>
                      <w:r>
                        <w:rPr>
                          <w:b/>
                          <w:bCs/>
                          <w:color w:val="000000"/>
                          <w:spacing w:val="0"/>
                          <w:w w:val="100"/>
                          <w:position w:val="0"/>
                          <w:sz w:val="44"/>
                          <w:szCs w:val="44"/>
                          <w:shd w:val="clear" w:color="auto" w:fill="auto"/>
                          <w:lang w:val="ru-RU" w:eastAsia="ru-RU" w:bidi="ru-RU"/>
                        </w:rPr>
                        <w:t xml:space="preserve">) </w:t>
                      </w:r>
                      <w:r>
                        <w:rPr>
                          <w:color w:val="000000"/>
                          <w:spacing w:val="0"/>
                          <w:w w:val="100"/>
                          <w:position w:val="0"/>
                          <w:shd w:val="clear" w:color="auto" w:fill="auto"/>
                          <w:lang w:val="ru-RU" w:eastAsia="ru-RU" w:bidi="ru-RU"/>
                        </w:rPr>
                        <w:t>*</w:t>
                      </w:r>
                      <w:bookmarkEnd w:id="0"/>
                    </w:p>
                  </w:txbxContent>
                </v:textbox>
                <w10:wrap type="topAndBottom" anchorx="page"/>
              </v:shape>
            </w:pict>
          </mc:Fallback>
        </mc:AlternateContent>
      </w:r>
      <w:r>
        <mc:AlternateContent>
          <mc:Choice Requires="wps">
            <w:drawing>
              <wp:anchor distT="88900" distB="0" distL="0" distR="0" simplePos="0" relativeHeight="125829387" behindDoc="0" locked="0" layoutInCell="1" allowOverlap="1">
                <wp:simplePos x="0" y="0"/>
                <wp:positionH relativeFrom="page">
                  <wp:posOffset>4253230</wp:posOffset>
                </wp:positionH>
                <wp:positionV relativeFrom="paragraph">
                  <wp:posOffset>88900</wp:posOffset>
                </wp:positionV>
                <wp:extent cx="716280" cy="514985"/>
                <wp:wrapTopAndBottom/>
                <wp:docPr id="15" name="Shape 15"/>
                <a:graphic xmlns:a="http://schemas.openxmlformats.org/drawingml/2006/main">
                  <a:graphicData uri="http://schemas.microsoft.com/office/word/2010/wordprocessingShape">
                    <wps:wsp>
                      <wps:cNvSpPr txBox="1"/>
                      <wps:spPr>
                        <a:xfrm>
                          <a:ext cx="716280" cy="514985"/>
                        </a:xfrm>
                        <a:prstGeom prst="rect"/>
                        <a:noFill/>
                      </wps:spPr>
                      <wps:txbx>
                        <w:txbxContent>
                          <w:p>
                            <w:pPr>
                              <w:pStyle w:val="Style9"/>
                              <w:keepNext/>
                              <w:keepLines/>
                              <w:widowControl w:val="0"/>
                              <w:pBdr>
                                <w:bottom w:val="single" w:sz="4" w:space="0" w:color="auto"/>
                              </w:pBdr>
                              <w:shd w:val="clear" w:color="auto" w:fill="auto"/>
                              <w:bidi w:val="0"/>
                              <w:spacing w:before="0" w:after="60" w:line="240" w:lineRule="auto"/>
                              <w:ind w:left="0" w:right="0" w:firstLine="240"/>
                              <w:jc w:val="left"/>
                            </w:pPr>
                            <w:bookmarkStart w:id="2" w:name="bookmark2"/>
                            <w:r>
                              <w:rPr>
                                <w:color w:val="000000"/>
                                <w:spacing w:val="0"/>
                                <w:w w:val="100"/>
                                <w:position w:val="0"/>
                                <w:u w:val="single"/>
                                <w:shd w:val="clear" w:color="auto" w:fill="auto"/>
                                <w:lang w:val="ru-RU" w:eastAsia="ru-RU" w:bidi="ru-RU"/>
                              </w:rPr>
                              <w:t>100</w:t>
                            </w:r>
                            <w:bookmarkEnd w:id="2"/>
                          </w:p>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т ах</w:t>
                            </w:r>
                            <w:r>
                              <w:rPr>
                                <w:i w:val="0"/>
                                <w:iCs w:val="0"/>
                                <w:color w:val="000000"/>
                                <w:spacing w:val="0"/>
                                <w:w w:val="100"/>
                                <w:position w:val="0"/>
                                <w:shd w:val="clear" w:color="auto" w:fill="auto"/>
                                <w:lang w:val="ru-RU" w:eastAsia="ru-RU" w:bidi="ru-RU"/>
                              </w:rPr>
                              <w:t xml:space="preserve"> </w:t>
                            </w:r>
                            <w:r>
                              <w:rPr>
                                <w:i w:val="0"/>
                                <w:iCs w:val="0"/>
                                <w:color w:val="000000"/>
                                <w:spacing w:val="0"/>
                                <w:w w:val="100"/>
                                <w:position w:val="0"/>
                                <w:shd w:val="clear" w:color="auto" w:fill="auto"/>
                                <w:vertAlign w:val="superscript"/>
                                <w:lang w:val="ru-RU" w:eastAsia="ru-RU" w:bidi="ru-RU"/>
                              </w:rPr>
                              <w:t>Х</w:t>
                            </w:r>
                            <w:r>
                              <w:rPr>
                                <w:color w:val="000000"/>
                                <w:spacing w:val="0"/>
                                <w:w w:val="100"/>
                                <w:position w:val="0"/>
                                <w:shd w:val="clear" w:color="auto" w:fill="auto"/>
                                <w:lang w:val="ru-RU" w:eastAsia="ru-RU" w:bidi="ru-RU"/>
                              </w:rPr>
                              <w:t>т т</w:t>
                            </w:r>
                          </w:p>
                        </w:txbxContent>
                      </wps:txbx>
                      <wps:bodyPr lIns="0" tIns="0" rIns="0" bIns="0">
                        <a:noAutoFit/>
                      </wps:bodyPr>
                    </wps:wsp>
                  </a:graphicData>
                </a:graphic>
              </wp:anchor>
            </w:drawing>
          </mc:Choice>
          <mc:Fallback>
            <w:pict>
              <v:shape id="_x0000_s1041" type="#_x0000_t202" style="position:absolute;margin-left:334.90000000000003pt;margin-top:7.pt;width:56.399999999999999pt;height:40.550000000000004pt;z-index:-125829366;mso-wrap-distance-left:0;mso-wrap-distance-top:7.pt;mso-wrap-distance-right:0;mso-position-horizontal-relative:page" filled="f" stroked="f">
                <v:textbox inset="0,0,0,0">
                  <w:txbxContent>
                    <w:p>
                      <w:pPr>
                        <w:pStyle w:val="Style9"/>
                        <w:keepNext/>
                        <w:keepLines/>
                        <w:widowControl w:val="0"/>
                        <w:pBdr>
                          <w:bottom w:val="single" w:sz="4" w:space="0" w:color="auto"/>
                        </w:pBdr>
                        <w:shd w:val="clear" w:color="auto" w:fill="auto"/>
                        <w:bidi w:val="0"/>
                        <w:spacing w:before="0" w:after="60" w:line="240" w:lineRule="auto"/>
                        <w:ind w:left="0" w:right="0" w:firstLine="240"/>
                        <w:jc w:val="left"/>
                      </w:pPr>
                      <w:bookmarkStart w:id="2" w:name="bookmark2"/>
                      <w:r>
                        <w:rPr>
                          <w:color w:val="000000"/>
                          <w:spacing w:val="0"/>
                          <w:w w:val="100"/>
                          <w:position w:val="0"/>
                          <w:u w:val="single"/>
                          <w:shd w:val="clear" w:color="auto" w:fill="auto"/>
                          <w:lang w:val="ru-RU" w:eastAsia="ru-RU" w:bidi="ru-RU"/>
                        </w:rPr>
                        <w:t>100</w:t>
                      </w:r>
                      <w:bookmarkEnd w:id="2"/>
                    </w:p>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т ах</w:t>
                      </w:r>
                      <w:r>
                        <w:rPr>
                          <w:i w:val="0"/>
                          <w:iCs w:val="0"/>
                          <w:color w:val="000000"/>
                          <w:spacing w:val="0"/>
                          <w:w w:val="100"/>
                          <w:position w:val="0"/>
                          <w:shd w:val="clear" w:color="auto" w:fill="auto"/>
                          <w:lang w:val="ru-RU" w:eastAsia="ru-RU" w:bidi="ru-RU"/>
                        </w:rPr>
                        <w:t xml:space="preserve"> </w:t>
                      </w:r>
                      <w:r>
                        <w:rPr>
                          <w:i w:val="0"/>
                          <w:iCs w:val="0"/>
                          <w:color w:val="000000"/>
                          <w:spacing w:val="0"/>
                          <w:w w:val="100"/>
                          <w:position w:val="0"/>
                          <w:shd w:val="clear" w:color="auto" w:fill="auto"/>
                          <w:vertAlign w:val="superscript"/>
                          <w:lang w:val="ru-RU" w:eastAsia="ru-RU" w:bidi="ru-RU"/>
                        </w:rPr>
                        <w:t>Х</w:t>
                      </w:r>
                      <w:r>
                        <w:rPr>
                          <w:color w:val="000000"/>
                          <w:spacing w:val="0"/>
                          <w:w w:val="100"/>
                          <w:position w:val="0"/>
                          <w:shd w:val="clear" w:color="auto" w:fill="auto"/>
                          <w:lang w:val="ru-RU" w:eastAsia="ru-RU" w:bidi="ru-RU"/>
                        </w:rPr>
                        <w:t>т т</w:t>
                      </w:r>
                    </w:p>
                  </w:txbxContent>
                </v:textbox>
                <w10:wrap type="topAndBottom" anchorx="page"/>
              </v:shape>
            </w:pict>
          </mc:Fallback>
        </mc:AlternateContent>
      </w:r>
    </w:p>
    <w:p>
      <w:pPr>
        <w:pStyle w:val="Style7"/>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где:</w:t>
      </w:r>
    </w:p>
    <w:p>
      <w:pPr>
        <w:pStyle w:val="Style7"/>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Хтах - максимальное значение квалификация участников закупки, содержащееся в заявках (частях заявок), подлежащих в соответствии с Законом о контрактной системе оценке по критерию оценки «Квалификация участников закупки»;</w:t>
      </w:r>
    </w:p>
    <w:p>
      <w:pPr>
        <w:pStyle w:val="Style7"/>
        <w:keepNext w:val="0"/>
        <w:keepLines w:val="0"/>
        <w:widowControl w:val="0"/>
        <w:numPr>
          <w:ilvl w:val="0"/>
          <w:numId w:val="5"/>
        </w:numPr>
        <w:shd w:val="clear" w:color="auto" w:fill="auto"/>
        <w:tabs>
          <w:tab w:pos="1062" w:val="left"/>
        </w:tabs>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 значение квалификация участников закупки, содержащееся в предложении участника закупки, заявка (часть заявки) которого подлежит в соответствии с Законом о контрактной системе оценке по критерию оценки «Квалификация участников закупки»;</w:t>
      </w:r>
    </w:p>
    <w:p>
      <w:pPr>
        <w:pStyle w:val="Style7"/>
        <w:keepNext w:val="0"/>
        <w:keepLines w:val="0"/>
        <w:widowControl w:val="0"/>
        <w:shd w:val="clear" w:color="auto" w:fill="auto"/>
        <w:bidi w:val="0"/>
        <w:spacing w:before="0" w:after="240" w:line="240" w:lineRule="auto"/>
        <w:ind w:left="0" w:right="0" w:firstLine="740"/>
        <w:jc w:val="both"/>
      </w:pPr>
      <w:r>
        <w:rPr>
          <w:i/>
          <w:iCs/>
          <w:color w:val="000000"/>
          <w:spacing w:val="0"/>
          <w:w w:val="100"/>
          <w:position w:val="0"/>
          <w:sz w:val="24"/>
          <w:szCs w:val="24"/>
          <w:shd w:val="clear" w:color="auto" w:fill="auto"/>
          <w:lang w:val="ru-RU" w:eastAsia="ru-RU" w:bidi="ru-RU"/>
        </w:rPr>
        <w:t>Хпип - минимальное значение квалификация участников закупки, содержащееся в заявках (частях заявок), подлежащих в соответствии с Законом о контрактной системе оценке по критерию оценки «Квалификация участников закупки»".</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Применение указанной формулы является допустимым в соответствии с законодательством. Заказчик сам вправе выбирать формулу из числа предусмотренных пунктом 20 Положения.</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позицией Минфина РФ, изложенной в письме от 14.02.2022 ^ 24-01- 09/10138, формулы оценки, предусмотренные пунктом 20 Положения об оценке заявок на участие в закупке, предусматривают оценку с учетом того, какое значение является для заказчика наилучшим, а также с учетом наличия или отсутствия предельного (предельных) минимального и (или) максимального значения (значений) показателя.</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Позицией ФАС России, изложенной в письме от 01.06.2023 ^ ПИ/43159/23, подтверждается право заказчика самостоятельно выбрать формулу из числа предусмотренных пунктом 20 Положения, в том числе право установить предусмотренные формулами предельные значения показателей, при условии, что такие требования не влекут ограничение количества участников закупки.</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Аналогичная позиция, подтверждающая право заказчика не устанавливать предельное (предельные) значение (значения) детализирующих показателей в случае применения формул, предусмотренных подпунктами "а" и "б" пункта 20 Положения об оценке заявок, изложена в информационном письме Минфина России от 14.02.2022 ^ 24-01-09/10138.</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 в составе жалобы Заявитель указывает на то, что формирование порядка оценки без указания максимального количественного значения общей цены исполненных участником закупки договоров не способствует выявлению лучших условий исполнения контракта, поскольку не установление в извещении о проведении закупки предельного значения по опыту, который подлежит оценке, приводит к необоснованному предоставлению участнику закупки, обладающему максимальным опытом, преимущественного положения, которое невозможно преодолеть в ходе конкурентной борьбы даже в случае значительного снижения цены на границе экономической рентабельности и за ее пределами, в случае, если один из участников показывает избыточный опыт, остальные участники получат необоснованно низкий балл по данному критерию даже при наличии достаточного опыта выполнения аналогичных работ, сопоставимого с объемом закупки.</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Одновременно с этим Закон о контрактной системе не регламентирует установление в конкурсной документации тех или иных показателей, а также необходимую информацию, раскрывающую содержание нестоимостных критериев.</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прерогатива определить перечень показателей, их содержание и наполняемость, перечень документов, предоставляемых в составе заявки по показателям, а также значимость каждого показателя,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принадлежит Заказчику.</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части 4 статьи 24 Закон о контрактной системе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Законом о контрактной системе предусмотрена документация о закупке).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Комиссия Управления отмечает, что оспариваемый порядок оценки не препятствует </w:t>
      </w:r>
      <w:r>
        <w:rPr>
          <w:color w:val="000000"/>
          <w:spacing w:val="0"/>
          <w:w w:val="100"/>
          <w:position w:val="0"/>
          <w:sz w:val="24"/>
          <w:szCs w:val="24"/>
          <w:shd w:val="clear" w:color="auto" w:fill="auto"/>
          <w:lang w:val="ru-RU" w:eastAsia="ru-RU" w:bidi="ru-RU"/>
        </w:rPr>
        <w:t>участию в конкурсе,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заказчика при выполнении работ по объекту закупки.</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Доводы заявителя об ограничении количества участников закупки установленным Заказчиком порядком оценки не отвечают существу проведения процедуры конкурса, поскольку положения порядка оценки влияют на присвоение баллов в отношении поданных заявок, но не определяют условия допуска участников к конкурсу. При таких данных, иное видение Заявителем методики оценки не может свидетельствовать о нарушении заказчиком Закон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не указывает в жалобе, в чем заключается несоответствие оспариваемых критериев и порядка оценки требованиям законодательства о контрактной системе, не представил обоснования и доказательства, каким образом нарушены права и законные интересы подателя жалобы как участника закупки, в том числе в части ограничения его участия в закупке.</w:t>
      </w:r>
    </w:p>
    <w:p>
      <w:pPr>
        <w:pStyle w:val="Style7"/>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вышеизложенного, довод Заявителя является необоснованным.</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Жалоба общества с ограниченной ответственностью "Янтарный берег" (ИНН: 9201010887; ОГРН: 1149204032966) от 24.09.2024 № 9528/24 рассмотрена Комиссией Управления в соответствии с требованиями Закона о контрактной системе.</w:t>
      </w:r>
    </w:p>
    <w:p>
      <w:pPr>
        <w:pStyle w:val="Style7"/>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статей 99, 106 Закона о контрактной системе, Комиссия Управления</w:t>
      </w:r>
    </w:p>
    <w:p>
      <w:pPr>
        <w:pStyle w:val="Style18"/>
        <w:keepNext/>
        <w:keepLines/>
        <w:widowControl w:val="0"/>
        <w:shd w:val="clear" w:color="auto" w:fill="auto"/>
        <w:bidi w:val="0"/>
        <w:spacing w:before="0" w:after="240" w:line="240" w:lineRule="auto"/>
        <w:ind w:left="0" w:right="0" w:firstLine="0"/>
        <w:jc w:val="center"/>
      </w:pPr>
      <w:bookmarkStart w:id="20" w:name="bookmark20"/>
      <w:r>
        <w:rPr>
          <w:color w:val="000000"/>
          <w:spacing w:val="0"/>
          <w:w w:val="100"/>
          <w:position w:val="0"/>
          <w:sz w:val="24"/>
          <w:szCs w:val="24"/>
          <w:shd w:val="clear" w:color="auto" w:fill="auto"/>
          <w:lang w:val="ru-RU" w:eastAsia="ru-RU" w:bidi="ru-RU"/>
        </w:rPr>
        <w:t>РЕШИЛА:</w:t>
      </w:r>
      <w:bookmarkEnd w:id="20"/>
    </w:p>
    <w:p>
      <w:pPr>
        <w:pStyle w:val="Style7"/>
        <w:keepNext w:val="0"/>
        <w:keepLines w:val="0"/>
        <w:widowControl w:val="0"/>
        <w:numPr>
          <w:ilvl w:val="0"/>
          <w:numId w:val="7"/>
        </w:numPr>
        <w:shd w:val="clear" w:color="auto" w:fill="auto"/>
        <w:tabs>
          <w:tab w:pos="105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Признать жалобу общества с ограниченной ответственностью "Янтарный берег" (ИНН: 9201010887; ОГРН: 1149204032966) от 24.09.2024 № 9528/24, на действия Заказчика - Департамента социального развития Ханты-Мансийского автономного округа — Югры, Уполномоченного органа - Департамент государственного заказа Ханты-Мансийского автономного округа — Югры при проведении открытого конкурса в электронной форме, предметом которого является оказание услуг по организации отдыха и оздоровления детей в оздоровительной организации Краснодарского края (Туапсинский район) (извещение № 0187200001724001818) необоснованной.</w:t>
      </w:r>
    </w:p>
    <w:p>
      <w:pPr>
        <w:pStyle w:val="Style7"/>
        <w:keepNext w:val="0"/>
        <w:keepLines w:val="0"/>
        <w:widowControl w:val="0"/>
        <w:numPr>
          <w:ilvl w:val="0"/>
          <w:numId w:val="7"/>
        </w:numPr>
        <w:shd w:val="clear" w:color="auto" w:fill="auto"/>
        <w:tabs>
          <w:tab w:pos="171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Предписание не выдавать.</w:t>
      </w:r>
    </w:p>
    <w:p>
      <w:pPr>
        <w:pStyle w:val="Style7"/>
        <w:keepNext w:val="0"/>
        <w:keepLines w:val="0"/>
        <w:widowControl w:val="0"/>
        <w:numPr>
          <w:ilvl w:val="0"/>
          <w:numId w:val="7"/>
        </w:numPr>
        <w:shd w:val="clear" w:color="auto" w:fill="auto"/>
        <w:tabs>
          <w:tab w:pos="1049" w:val="left"/>
        </w:tabs>
        <w:bidi w:val="0"/>
        <w:spacing w:before="0" w:after="800" w:line="240" w:lineRule="auto"/>
        <w:ind w:left="0" w:right="0" w:firstLine="740"/>
        <w:jc w:val="both"/>
      </w:pPr>
      <w:r>
        <w:rPr>
          <w:color w:val="000000"/>
          <w:spacing w:val="0"/>
          <w:w w:val="100"/>
          <w:position w:val="0"/>
          <w:sz w:val="24"/>
          <w:szCs w:val="24"/>
          <w:shd w:val="clear" w:color="auto" w:fill="auto"/>
          <w:lang w:val="ru-RU" w:eastAsia="ru-RU" w:bidi="ru-RU"/>
        </w:rPr>
        <w:t xml:space="preserve">Направить данное решение сторонам и опубликовать на официальном сайте единой информационной системы в сфере закупок ( </w:t>
      </w:r>
      <w:r>
        <w:rPr>
          <w:smallCaps/>
          <w:color w:val="000080"/>
          <w:spacing w:val="0"/>
          <w:w w:val="100"/>
          <w:position w:val="0"/>
          <w:sz w:val="17"/>
          <w:szCs w:val="17"/>
          <w:u w:val="single"/>
          <w:shd w:val="clear" w:color="auto" w:fill="auto"/>
          <w:lang w:val="ru-RU" w:eastAsia="ru-RU" w:bidi="ru-RU"/>
        </w:rPr>
        <w:t>\у\у\у.</w:t>
      </w:r>
      <w:r>
        <w:rPr>
          <w:color w:val="000080"/>
          <w:spacing w:val="0"/>
          <w:w w:val="100"/>
          <w:position w:val="0"/>
          <w:sz w:val="24"/>
          <w:szCs w:val="24"/>
          <w:u w:val="single"/>
          <w:shd w:val="clear" w:color="auto" w:fill="auto"/>
          <w:lang w:val="ru-RU" w:eastAsia="ru-RU" w:bidi="ru-RU"/>
        </w:rPr>
        <w:t xml:space="preserve"> закирк! .доV.^и</w:t>
      </w:r>
      <w:r>
        <w:rPr>
          <w:color w:val="000000"/>
          <w:spacing w:val="0"/>
          <w:w w:val="100"/>
          <w:position w:val="0"/>
          <w:sz w:val="24"/>
          <w:szCs w:val="24"/>
          <w:shd w:val="clear" w:color="auto" w:fill="auto"/>
          <w:lang w:val="ru-RU" w:eastAsia="ru-RU" w:bidi="ru-RU"/>
        </w:rPr>
        <w:t>).</w:t>
      </w:r>
    </w:p>
    <w:p>
      <w:pPr>
        <w:pStyle w:val="Style7"/>
        <w:keepNext w:val="0"/>
        <w:keepLines w:val="0"/>
        <w:widowControl w:val="0"/>
        <w:shd w:val="clear" w:color="auto" w:fill="auto"/>
        <w:tabs>
          <w:tab w:pos="8268" w:val="left"/>
        </w:tabs>
        <w:bidi w:val="0"/>
        <w:spacing w:before="0" w:after="80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Р.Р. Валиуллин</w:t>
      </w:r>
    </w:p>
    <w:p>
      <w:pPr>
        <w:pStyle w:val="Style7"/>
        <w:keepNext w:val="0"/>
        <w:keepLines w:val="0"/>
        <w:widowControl w:val="0"/>
        <w:shd w:val="clear" w:color="auto" w:fill="auto"/>
        <w:tabs>
          <w:tab w:pos="8268" w:val="left"/>
        </w:tabs>
        <w:bidi w:val="0"/>
        <w:spacing w:before="0" w:after="80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Е.А. Иванчикова</w:t>
      </w:r>
    </w:p>
    <w:p>
      <w:pPr>
        <w:pStyle w:val="Style7"/>
        <w:keepNext w:val="0"/>
        <w:keepLines w:val="0"/>
        <w:widowControl w:val="0"/>
        <w:shd w:val="clear" w:color="auto" w:fill="auto"/>
        <w:bidi w:val="0"/>
        <w:spacing w:before="0" w:after="480" w:line="240" w:lineRule="auto"/>
        <w:ind w:left="0" w:right="680" w:firstLine="0"/>
        <w:jc w:val="right"/>
      </w:pPr>
      <w:r>
        <w:rPr>
          <w:color w:val="000000"/>
          <w:spacing w:val="0"/>
          <w:w w:val="100"/>
          <w:position w:val="0"/>
          <w:sz w:val="24"/>
          <w:szCs w:val="24"/>
          <w:shd w:val="clear" w:color="auto" w:fill="auto"/>
          <w:lang w:val="ru-RU" w:eastAsia="ru-RU" w:bidi="ru-RU"/>
        </w:rPr>
        <w:t>М.С. Смоль</w:t>
      </w:r>
    </w:p>
    <w:p>
      <w:pPr>
        <w:pStyle w:val="Style2"/>
        <w:keepNext w:val="0"/>
        <w:keepLines w:val="0"/>
        <w:widowControl w:val="0"/>
        <w:shd w:val="clear" w:color="auto" w:fill="auto"/>
        <w:bidi w:val="0"/>
        <w:spacing w:before="0" w:after="0" w:line="257" w:lineRule="auto"/>
        <w:ind w:left="0" w:right="0" w:firstLine="740"/>
        <w:jc w:val="both"/>
      </w:pPr>
      <w:r>
        <w:rPr>
          <w:i/>
          <w:iCs/>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erReference w:type="default" r:id="rId11"/>
      <w:footerReference w:type="first" r:id="rId12"/>
      <w:footnotePr>
        <w:pos w:val="pageBottom"/>
        <w:numFmt w:val="decimal"/>
        <w:numRestart w:val="continuous"/>
      </w:footnotePr>
      <w:pgSz w:w="11900" w:h="16840"/>
      <w:pgMar w:top="1016" w:right="539" w:bottom="1206" w:left="1103"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9991725</wp:posOffset>
              </wp:positionV>
              <wp:extent cx="648970" cy="100330"/>
              <wp:wrapNone/>
              <wp:docPr id="17" name="Shape 1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2024-7172</w:t>
                          </w:r>
                        </w:p>
                      </w:txbxContent>
                    </wps:txbx>
                    <wps:bodyPr wrap="none" lIns="0" tIns="0" rIns="0" bIns="0">
                      <a:spAutoFit/>
                    </wps:bodyPr>
                  </wps:wsp>
                </a:graphicData>
              </a:graphic>
            </wp:anchor>
          </w:drawing>
        </mc:Choice>
        <mc:Fallback>
          <w:pict>
            <v:shape id="_x0000_s1043" type="#_x0000_t202" style="position:absolute;margin-left:56.950000000000003pt;margin-top:786.7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9991725</wp:posOffset>
              </wp:positionV>
              <wp:extent cx="648970" cy="100330"/>
              <wp:wrapNone/>
              <wp:docPr id="19" name="Shape 1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2024-7172</w:t>
                          </w:r>
                        </w:p>
                      </w:txbxContent>
                    </wps:txbx>
                    <wps:bodyPr wrap="none" lIns="0" tIns="0" rIns="0" bIns="0">
                      <a:spAutoFit/>
                    </wps:bodyPr>
                  </wps:wsp>
                </a:graphicData>
              </a:graphic>
            </wp:anchor>
          </w:drawing>
        </mc:Choice>
        <mc:Fallback>
          <w:pict>
            <v:shape id="_x0000_s1045" type="#_x0000_t202" style="position:absolute;margin-left:56.850000000000001pt;margin-top:786.7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8"/>
      <w:sz w:val="16"/>
      <w:szCs w:val="16"/>
      <w:u w:val="none"/>
    </w:rPr>
  </w:style>
  <w:style w:type="character" w:customStyle="1" w:styleId="CharStyle6">
    <w:name w:val="Подпись к картинке_"/>
    <w:basedOn w:val="DefaultParagraphFont"/>
    <w:link w:val="Style5"/>
    <w:rPr>
      <w:rFonts w:ascii="Times New Roman" w:eastAsia="Times New Roman" w:hAnsi="Times New Roman" w:cs="Times New Roman"/>
      <w:b w:val="0"/>
      <w:bCs w:val="0"/>
      <w:i w:val="0"/>
      <w:iCs w:val="0"/>
      <w:smallCaps w:val="0"/>
      <w:strike w:val="0"/>
      <w:color w:val="4360A8"/>
      <w:sz w:val="16"/>
      <w:szCs w:val="16"/>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Основной текст (3)_"/>
    <w:basedOn w:val="DefaultParagraphFont"/>
    <w:link w:val="Style15"/>
    <w:rPr>
      <w:rFonts w:ascii="Times New Roman" w:eastAsia="Times New Roman" w:hAnsi="Times New Roman" w:cs="Times New Roman"/>
      <w:b w:val="0"/>
      <w:bCs w:val="0"/>
      <w:i/>
      <w:iCs/>
      <w:smallCaps w:val="0"/>
      <w:strike w:val="0"/>
      <w:sz w:val="19"/>
      <w:szCs w:val="19"/>
      <w:u w:val="none"/>
    </w:rPr>
  </w:style>
  <w:style w:type="character" w:customStyle="1" w:styleId="CharStyle19">
    <w:name w:val="Заголовок №2_"/>
    <w:basedOn w:val="DefaultParagraphFont"/>
    <w:link w:val="Style18"/>
    <w:rPr>
      <w:rFonts w:ascii="Times New Roman" w:eastAsia="Times New Roman" w:hAnsi="Times New Roman" w:cs="Times New Roman"/>
      <w:b/>
      <w:bCs/>
      <w:i w:val="0"/>
      <w:iCs w:val="0"/>
      <w:smallCaps w:val="0"/>
      <w:strike w:val="0"/>
      <w:u w:val="none"/>
    </w:rPr>
  </w:style>
  <w:style w:type="character" w:customStyle="1" w:styleId="CharStyle21">
    <w:name w:val="Колонтитул (2)_"/>
    <w:basedOn w:val="DefaultParagraphFont"/>
    <w:link w:val="Style20"/>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180" w:line="302" w:lineRule="auto"/>
      <w:jc w:val="center"/>
    </w:pPr>
    <w:rPr>
      <w:rFonts w:ascii="Times New Roman" w:eastAsia="Times New Roman" w:hAnsi="Times New Roman" w:cs="Times New Roman"/>
      <w:b w:val="0"/>
      <w:bCs w:val="0"/>
      <w:i w:val="0"/>
      <w:iCs w:val="0"/>
      <w:smallCaps w:val="0"/>
      <w:strike w:val="0"/>
      <w:color w:val="4360A8"/>
      <w:sz w:val="16"/>
      <w:szCs w:val="16"/>
      <w:u w:val="none"/>
    </w:rPr>
  </w:style>
  <w:style w:type="paragraph" w:customStyle="1" w:styleId="Style5">
    <w:name w:val="Подпись к картинке"/>
    <w:basedOn w:val="Normal"/>
    <w:link w:val="CharStyle6"/>
    <w:pPr>
      <w:widowControl w:val="0"/>
      <w:shd w:val="clear" w:color="auto" w:fill="auto"/>
      <w:spacing w:line="302" w:lineRule="auto"/>
    </w:pPr>
    <w:rPr>
      <w:rFonts w:ascii="Times New Roman" w:eastAsia="Times New Roman" w:hAnsi="Times New Roman" w:cs="Times New Roman"/>
      <w:b w:val="0"/>
      <w:bCs w:val="0"/>
      <w:i w:val="0"/>
      <w:iCs w:val="0"/>
      <w:smallCaps w:val="0"/>
      <w:strike w:val="0"/>
      <w:color w:val="4360A8"/>
      <w:sz w:val="16"/>
      <w:szCs w:val="16"/>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9">
    <w:name w:val="Заголовок №1"/>
    <w:basedOn w:val="Normal"/>
    <w:link w:val="CharStyle10"/>
    <w:pPr>
      <w:widowControl w:val="0"/>
      <w:shd w:val="clear" w:color="auto" w:fill="auto"/>
      <w:spacing w:after="30"/>
      <w:ind w:firstLine="120"/>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Основной текст (3)"/>
    <w:basedOn w:val="Normal"/>
    <w:link w:val="CharStyle16"/>
    <w:pPr>
      <w:widowControl w:val="0"/>
      <w:shd w:val="clear" w:color="auto" w:fill="auto"/>
      <w:jc w:val="center"/>
    </w:pPr>
    <w:rPr>
      <w:rFonts w:ascii="Times New Roman" w:eastAsia="Times New Roman" w:hAnsi="Times New Roman" w:cs="Times New Roman"/>
      <w:b w:val="0"/>
      <w:bCs w:val="0"/>
      <w:i/>
      <w:iCs/>
      <w:smallCaps w:val="0"/>
      <w:strike w:val="0"/>
      <w:sz w:val="19"/>
      <w:szCs w:val="19"/>
      <w:u w:val="none"/>
    </w:rPr>
  </w:style>
  <w:style w:type="paragraph" w:customStyle="1" w:styleId="Style18">
    <w:name w:val="Заголовок №2"/>
    <w:basedOn w:val="Normal"/>
    <w:link w:val="CharStyle19"/>
    <w:pPr>
      <w:widowControl w:val="0"/>
      <w:shd w:val="clear" w:color="auto" w:fill="auto"/>
      <w:outlineLvl w:val="1"/>
    </w:pPr>
    <w:rPr>
      <w:rFonts w:ascii="Times New Roman" w:eastAsia="Times New Roman" w:hAnsi="Times New Roman" w:cs="Times New Roman"/>
      <w:b/>
      <w:bCs/>
      <w:i w:val="0"/>
      <w:iCs w:val="0"/>
      <w:smallCaps w:val="0"/>
      <w:strike w:val="0"/>
      <w:u w:val="none"/>
    </w:rPr>
  </w:style>
  <w:style w:type="paragraph" w:customStyle="1" w:styleId="Style20">
    <w:name w:val="Колонтитул (2)"/>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