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9665" simplePos="0" relativeHeight="125829378" behindDoc="0" locked="0" layoutInCell="1" allowOverlap="1">
            <wp:simplePos x="0" y="0"/>
            <wp:positionH relativeFrom="page">
              <wp:posOffset>1773555</wp:posOffset>
            </wp:positionH>
            <wp:positionV relativeFrom="paragraph">
              <wp:posOffset>12700</wp:posOffset>
            </wp:positionV>
            <wp:extent cx="53022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15950"/>
                    </a:xfrm>
                    <a:prstGeom prst="rect"/>
                  </pic:spPr>
                </pic:pic>
              </a:graphicData>
            </a:graphic>
          </wp:anchor>
        </w:drawing>
      </w:r>
      <w:r>
        <mc:AlternateContent>
          <mc:Choice Requires="wps">
            <w:drawing>
              <wp:anchor distT="615950" distB="792480" distL="114300" distR="132715" simplePos="0" relativeHeight="125829379" behindDoc="0" locked="0" layoutInCell="1" allowOverlap="1">
                <wp:simplePos x="0" y="0"/>
                <wp:positionH relativeFrom="page">
                  <wp:posOffset>721995</wp:posOffset>
                </wp:positionH>
                <wp:positionV relativeFrom="paragraph">
                  <wp:posOffset>628650</wp:posOffset>
                </wp:positionV>
                <wp:extent cx="2578735" cy="1852930"/>
                <wp:wrapSquare wrapText="right"/>
                <wp:docPr id="3" name="Shape 3"/>
                <a:graphic xmlns:a="http://schemas.openxmlformats.org/drawingml/2006/main">
                  <a:graphicData uri="http://schemas.microsoft.com/office/word/2010/wordprocessingShape">
                    <wps:wsp>
                      <wps:cNvSpPr txBox="1"/>
                      <wps:spPr>
                        <a:xfrm>
                          <a:ext cx="2578735" cy="185293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ул. Мира, д. 27, Ханты-Мансийск, 628012</w:t>
                              <w:br/>
                              <w:t>телефон/факс +7 (3467) 38-80-81</w:t>
                            </w:r>
                          </w:p>
                          <w:p>
                            <w:pPr>
                              <w:pStyle w:val="Style5"/>
                              <w:keepNext w:val="0"/>
                              <w:keepLines w:val="0"/>
                              <w:widowControl w:val="0"/>
                              <w:shd w:val="clear" w:color="auto" w:fill="auto"/>
                              <w:bidi w:val="0"/>
                              <w:spacing w:before="0" w:after="0" w:line="288" w:lineRule="auto"/>
                              <w:ind w:left="0" w:right="0" w:firstLine="300"/>
                              <w:jc w:val="left"/>
                            </w:pPr>
                            <w:r>
                              <w:rPr>
                                <w:i w:val="0"/>
                                <w:iCs w:val="0"/>
                                <w:color w:val="3D60B1"/>
                                <w:spacing w:val="0"/>
                                <w:w w:val="100"/>
                                <w:position w:val="0"/>
                                <w:shd w:val="clear" w:color="auto" w:fill="auto"/>
                                <w:lang w:val="ru-RU" w:eastAsia="ru-RU" w:bidi="ru-RU"/>
                              </w:rPr>
                              <w:t>е-таП: 1о86@Га8.§оу.ги, сайт 1Шр://11тао.Га8.§оу.ги</w:t>
                            </w:r>
                          </w:p>
                          <w:p>
                            <w:pPr>
                              <w:pStyle w:val="Style5"/>
                              <w:keepNext w:val="0"/>
                              <w:keepLines w:val="0"/>
                              <w:widowControl w:val="0"/>
                              <w:shd w:val="clear" w:color="auto" w:fill="auto"/>
                              <w:bidi w:val="0"/>
                              <w:spacing w:before="0" w:after="180" w:line="288" w:lineRule="auto"/>
                              <w:ind w:left="0" w:right="0" w:firstLine="0"/>
                              <w:jc w:val="left"/>
                            </w:pPr>
                            <w:r>
                              <w:rPr>
                                <w:i w:val="0"/>
                                <w:iCs w:val="0"/>
                                <w:color w:val="3D60B1"/>
                                <w:spacing w:val="0"/>
                                <w:w w:val="100"/>
                                <w:position w:val="0"/>
                                <w:shd w:val="clear" w:color="auto" w:fill="auto"/>
                                <w:lang w:val="ru-RU" w:eastAsia="ru-RU" w:bidi="ru-RU"/>
                              </w:rPr>
                              <w:t>ИНН 8601009316 КПП 860101001 ОГРН 1028600512093</w:t>
                            </w:r>
                          </w:p>
                          <w:p>
                            <w:pPr>
                              <w:pStyle w:val="Style2"/>
                              <w:keepNext w:val="0"/>
                              <w:keepLines w:val="0"/>
                              <w:widowControl w:val="0"/>
                              <w:shd w:val="clear" w:color="auto" w:fill="auto"/>
                              <w:tabs>
                                <w:tab w:leader="underscore" w:pos="1762" w:val="left"/>
                                <w:tab w:leader="underscore" w:pos="3926" w:val="left"/>
                              </w:tabs>
                              <w:bidi w:val="0"/>
                              <w:spacing w:before="0" w:after="100"/>
                              <w:ind w:left="0" w:right="0" w:firstLine="0"/>
                              <w:jc w:val="left"/>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49.5pt;width:203.05000000000001pt;height:145.90000000000001pt;z-index:-125829374;mso-wrap-distance-left:9.pt;mso-wrap-distance-top:48.5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ул. Мира, д. 27, Ханты-Мансийск, 628012</w:t>
                        <w:br/>
                        <w:t>телефон/факс +7 (3467) 38-80-81</w:t>
                      </w:r>
                    </w:p>
                    <w:p>
                      <w:pPr>
                        <w:pStyle w:val="Style5"/>
                        <w:keepNext w:val="0"/>
                        <w:keepLines w:val="0"/>
                        <w:widowControl w:val="0"/>
                        <w:shd w:val="clear" w:color="auto" w:fill="auto"/>
                        <w:bidi w:val="0"/>
                        <w:spacing w:before="0" w:after="0" w:line="288" w:lineRule="auto"/>
                        <w:ind w:left="0" w:right="0" w:firstLine="300"/>
                        <w:jc w:val="left"/>
                      </w:pPr>
                      <w:r>
                        <w:rPr>
                          <w:i w:val="0"/>
                          <w:iCs w:val="0"/>
                          <w:color w:val="3D60B1"/>
                          <w:spacing w:val="0"/>
                          <w:w w:val="100"/>
                          <w:position w:val="0"/>
                          <w:shd w:val="clear" w:color="auto" w:fill="auto"/>
                          <w:lang w:val="ru-RU" w:eastAsia="ru-RU" w:bidi="ru-RU"/>
                        </w:rPr>
                        <w:t>е-таП: 1о86@Га8.§оу.ги, сайт 1Шр://11тао.Га8.§оу.ги</w:t>
                      </w:r>
                    </w:p>
                    <w:p>
                      <w:pPr>
                        <w:pStyle w:val="Style5"/>
                        <w:keepNext w:val="0"/>
                        <w:keepLines w:val="0"/>
                        <w:widowControl w:val="0"/>
                        <w:shd w:val="clear" w:color="auto" w:fill="auto"/>
                        <w:bidi w:val="0"/>
                        <w:spacing w:before="0" w:after="180" w:line="288" w:lineRule="auto"/>
                        <w:ind w:left="0" w:right="0" w:firstLine="0"/>
                        <w:jc w:val="left"/>
                      </w:pPr>
                      <w:r>
                        <w:rPr>
                          <w:i w:val="0"/>
                          <w:iCs w:val="0"/>
                          <w:color w:val="3D60B1"/>
                          <w:spacing w:val="0"/>
                          <w:w w:val="100"/>
                          <w:position w:val="0"/>
                          <w:shd w:val="clear" w:color="auto" w:fill="auto"/>
                          <w:lang w:val="ru-RU" w:eastAsia="ru-RU" w:bidi="ru-RU"/>
                        </w:rPr>
                        <w:t>ИНН 8601009316 КПП 860101001 ОГРН 1028600512093</w:t>
                      </w:r>
                    </w:p>
                    <w:p>
                      <w:pPr>
                        <w:pStyle w:val="Style2"/>
                        <w:keepNext w:val="0"/>
                        <w:keepLines w:val="0"/>
                        <w:widowControl w:val="0"/>
                        <w:shd w:val="clear" w:color="auto" w:fill="auto"/>
                        <w:tabs>
                          <w:tab w:leader="underscore" w:pos="1762" w:val="left"/>
                          <w:tab w:leader="underscore" w:pos="3926" w:val="left"/>
                        </w:tabs>
                        <w:bidi w:val="0"/>
                        <w:spacing w:before="0" w:after="100"/>
                        <w:ind w:left="0" w:right="0" w:firstLine="0"/>
                        <w:jc w:val="left"/>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725170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721995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6.850000000000001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w:drawing>
          <wp:anchor distT="139700" distB="0" distL="114300" distR="114300" simplePos="0" relativeHeight="125829382" behindDoc="0" locked="0" layoutInCell="1" allowOverlap="1">
            <wp:simplePos x="0" y="0"/>
            <wp:positionH relativeFrom="page">
              <wp:posOffset>713105</wp:posOffset>
            </wp:positionH>
            <wp:positionV relativeFrom="paragraph">
              <wp:posOffset>9259570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7"/>
        <w:keepNext/>
        <w:keepLines/>
        <w:widowControl w:val="0"/>
        <w:shd w:val="clear" w:color="auto" w:fill="auto"/>
        <w:bidi w:val="0"/>
        <w:spacing w:before="0" w:after="0" w:line="240" w:lineRule="auto"/>
        <w:ind w:left="1020" w:right="0" w:firstLine="0"/>
        <w:jc w:val="left"/>
      </w:pPr>
      <w:bookmarkStart w:id="4" w:name="bookmark4"/>
      <w:r>
        <w:rPr>
          <w:color w:val="000000"/>
          <w:spacing w:val="0"/>
          <w:w w:val="100"/>
          <w:position w:val="0"/>
          <w:sz w:val="24"/>
          <w:szCs w:val="24"/>
          <w:shd w:val="clear" w:color="auto" w:fill="auto"/>
          <w:lang w:val="ru-RU" w:eastAsia="ru-RU" w:bidi="ru-RU"/>
        </w:rPr>
        <w:t>Оператор электронной площадки:</w:t>
      </w:r>
      <w:bookmarkEnd w:id="4"/>
    </w:p>
    <w:p>
      <w:pPr>
        <w:pStyle w:val="Style2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«НЭП - Фабрикант»</w:t>
      </w:r>
    </w:p>
    <w:p>
      <w:pPr>
        <w:pStyle w:val="Style2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АО «ЭТС» 123112, Москва, Тестовская улица, 10, «Москва Сити», Северная башня, 1 подъезд, 25 этаж</w:t>
      </w:r>
    </w:p>
    <w:p>
      <w:pPr>
        <w:pStyle w:val="Style2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119435, г. Москва, Большой Саввинский переулок, д.12, стр.9</w:t>
      </w:r>
    </w:p>
    <w:p>
      <w:pPr>
        <w:pStyle w:val="Style2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тел.: 8 495 138 96 78 , (495) 213-32-55</w:t>
      </w:r>
    </w:p>
    <w:p>
      <w:pPr>
        <w:pStyle w:val="Style22"/>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е-таП: \\л\лме1р-еКги. аидког8@е1рх.ш</w:t>
      </w:r>
    </w:p>
    <w:p>
      <w:pPr>
        <w:pStyle w:val="Style17"/>
        <w:keepNext/>
        <w:keepLines/>
        <w:widowControl w:val="0"/>
        <w:shd w:val="clear" w:color="auto" w:fill="auto"/>
        <w:bidi w:val="0"/>
        <w:spacing w:before="0" w:after="0" w:line="240" w:lineRule="auto"/>
        <w:ind w:left="1020" w:right="0" w:firstLine="0"/>
        <w:jc w:val="left"/>
      </w:pPr>
      <w:bookmarkStart w:id="6" w:name="bookmark6"/>
      <w:r>
        <w:rPr>
          <w:color w:val="000000"/>
          <w:spacing w:val="0"/>
          <w:w w:val="100"/>
          <w:position w:val="0"/>
          <w:sz w:val="24"/>
          <w:szCs w:val="24"/>
          <w:shd w:val="clear" w:color="auto" w:fill="auto"/>
          <w:lang w:val="ru-RU" w:eastAsia="ru-RU" w:bidi="ru-RU"/>
        </w:rPr>
        <w:t>Заявитель:</w:t>
      </w:r>
      <w:bookmarkEnd w:id="6"/>
    </w:p>
    <w:p>
      <w:pPr>
        <w:pStyle w:val="Style2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Общество с ограниченной ответственностью "Янтарный берег"</w:t>
      </w:r>
    </w:p>
    <w:p>
      <w:pPr>
        <w:pStyle w:val="Style2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299038, г. Севастополь, пр-кт Октябрьской</w:t>
      </w:r>
    </w:p>
    <w:p>
      <w:pPr>
        <w:pStyle w:val="Style22"/>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Революции, д. 40/6, офис 1</w:t>
      </w:r>
    </w:p>
    <w:p>
      <w:pPr>
        <w:pStyle w:val="Style17"/>
        <w:keepNext/>
        <w:keepLines/>
        <w:widowControl w:val="0"/>
        <w:shd w:val="clear" w:color="auto" w:fill="auto"/>
        <w:bidi w:val="0"/>
        <w:spacing w:before="0" w:after="0" w:line="240" w:lineRule="auto"/>
        <w:ind w:left="5320" w:right="0" w:firstLine="0"/>
        <w:jc w:val="left"/>
      </w:pPr>
      <w:bookmarkStart w:id="8" w:name="bookmark8"/>
      <w:r>
        <w:rPr>
          <w:color w:val="000000"/>
          <w:spacing w:val="0"/>
          <w:w w:val="100"/>
          <w:position w:val="0"/>
          <w:sz w:val="24"/>
          <w:szCs w:val="24"/>
          <w:shd w:val="clear" w:color="auto" w:fill="auto"/>
          <w:lang w:val="ru-RU" w:eastAsia="ru-RU" w:bidi="ru-RU"/>
        </w:rPr>
        <w:t>Заказчик:</w:t>
      </w:r>
      <w:bookmarkEnd w:id="8"/>
    </w:p>
    <w:p>
      <w:pPr>
        <w:pStyle w:val="Style22"/>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Департамент социального развития Ханты-</w:t>
      </w:r>
    </w:p>
    <w:p>
      <w:pPr>
        <w:pStyle w:val="Style22"/>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Мансийского автономного округа — Югры 628006, Ханты-Мансийский автономный округ</w:t>
      </w:r>
    </w:p>
    <w:p>
      <w:pPr>
        <w:pStyle w:val="Style22"/>
        <w:keepNext w:val="0"/>
        <w:keepLines w:val="0"/>
        <w:widowControl w:val="0"/>
        <w:numPr>
          <w:ilvl w:val="0"/>
          <w:numId w:val="1"/>
        </w:numPr>
        <w:shd w:val="clear" w:color="auto" w:fill="auto"/>
        <w:tabs>
          <w:tab w:pos="5582" w:val="left"/>
        </w:tabs>
        <w:bidi w:val="0"/>
        <w:spacing w:before="0" w:after="240" w:line="240" w:lineRule="auto"/>
        <w:ind w:left="5320" w:right="0" w:firstLine="0"/>
        <w:jc w:val="left"/>
      </w:pPr>
      <w:r>
        <w:rPr>
          <w:color w:val="000000"/>
          <w:spacing w:val="0"/>
          <w:w w:val="100"/>
          <w:position w:val="0"/>
          <w:sz w:val="24"/>
          <w:szCs w:val="24"/>
          <w:shd w:val="clear" w:color="auto" w:fill="auto"/>
          <w:lang w:val="ru-RU" w:eastAsia="ru-RU" w:bidi="ru-RU"/>
        </w:rPr>
        <w:t>Югра , г. Ханты-Мансийск, ул. Мира, д. 5</w:t>
      </w:r>
    </w:p>
    <w:p>
      <w:pPr>
        <w:pStyle w:val="Style17"/>
        <w:keepNext/>
        <w:keepLines/>
        <w:widowControl w:val="0"/>
        <w:shd w:val="clear" w:color="auto" w:fill="auto"/>
        <w:bidi w:val="0"/>
        <w:spacing w:before="0" w:after="0" w:line="240" w:lineRule="auto"/>
        <w:ind w:left="5320" w:right="0" w:firstLine="0"/>
        <w:jc w:val="left"/>
      </w:pPr>
      <w:bookmarkStart w:id="10" w:name="bookmark10"/>
      <w:r>
        <w:rPr>
          <w:color w:val="000000"/>
          <w:spacing w:val="0"/>
          <w:w w:val="100"/>
          <w:position w:val="0"/>
          <w:sz w:val="24"/>
          <w:szCs w:val="24"/>
          <w:shd w:val="clear" w:color="auto" w:fill="auto"/>
          <w:lang w:val="ru-RU" w:eastAsia="ru-RU" w:bidi="ru-RU"/>
        </w:rPr>
        <w:t>Уполномоченный орган:</w:t>
      </w:r>
      <w:bookmarkEnd w:id="10"/>
    </w:p>
    <w:p>
      <w:pPr>
        <w:pStyle w:val="Style22"/>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Департамент государственного заказа Ханты-</w:t>
      </w:r>
    </w:p>
    <w:p>
      <w:pPr>
        <w:pStyle w:val="Style22"/>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Мансийского автономного округа — Югры 628011, Ханты-Мансийский автономный округ</w:t>
      </w:r>
    </w:p>
    <w:p>
      <w:pPr>
        <w:pStyle w:val="Style22"/>
        <w:keepNext w:val="0"/>
        <w:keepLines w:val="0"/>
        <w:widowControl w:val="0"/>
        <w:numPr>
          <w:ilvl w:val="0"/>
          <w:numId w:val="1"/>
        </w:numPr>
        <w:shd w:val="clear" w:color="auto" w:fill="auto"/>
        <w:tabs>
          <w:tab w:pos="5582" w:val="left"/>
        </w:tabs>
        <w:bidi w:val="0"/>
        <w:spacing w:before="0" w:after="840" w:line="240" w:lineRule="auto"/>
        <w:ind w:left="5320" w:right="0" w:firstLine="0"/>
        <w:jc w:val="left"/>
      </w:pPr>
      <w:r>
        <w:rPr>
          <w:color w:val="000000"/>
          <w:spacing w:val="0"/>
          <w:w w:val="100"/>
          <w:position w:val="0"/>
          <w:sz w:val="24"/>
          <w:szCs w:val="24"/>
          <w:shd w:val="clear" w:color="auto" w:fill="auto"/>
          <w:lang w:val="ru-RU" w:eastAsia="ru-RU" w:bidi="ru-RU"/>
        </w:rPr>
        <w:t>Югра, г. Ханты-Мансийск, ул Мира, д. 14а</w:t>
      </w:r>
    </w:p>
    <w:p>
      <w:pPr>
        <w:pStyle w:val="Style17"/>
        <w:keepNext/>
        <w:keepLines/>
        <w:widowControl w:val="0"/>
        <w:shd w:val="clear" w:color="auto" w:fill="auto"/>
        <w:bidi w:val="0"/>
        <w:spacing w:before="0" w:after="24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РЕШЕНИЕ № 086/06/31-1548/2024</w:t>
      </w:r>
      <w:bookmarkEnd w:id="12"/>
    </w:p>
    <w:p>
      <w:pPr>
        <w:pStyle w:val="Style22"/>
        <w:keepNext w:val="0"/>
        <w:keepLines w:val="0"/>
        <w:widowControl w:val="0"/>
        <w:shd w:val="clear" w:color="auto" w:fill="auto"/>
        <w:tabs>
          <w:tab w:pos="7810"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Резолютивная часть объявлена 27.09.2024</w:t>
        <w:tab/>
        <w:t>г. Ханты-Мансийск</w:t>
      </w:r>
    </w:p>
    <w:p>
      <w:pPr>
        <w:pStyle w:val="Style2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Изготовлено в полном объеме 02.10.2024</w:t>
      </w:r>
    </w:p>
    <w:p>
      <w:pPr>
        <w:pStyle w:val="Style22"/>
        <w:keepNext w:val="0"/>
        <w:keepLines w:val="0"/>
        <w:widowControl w:val="0"/>
        <w:shd w:val="clear" w:color="auto" w:fill="auto"/>
        <w:bidi w:val="0"/>
        <w:spacing w:before="0" w:after="240" w:line="240" w:lineRule="auto"/>
        <w:ind w:left="0" w:right="0" w:firstLine="72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22"/>
        <w:keepNext w:val="0"/>
        <w:keepLines w:val="0"/>
        <w:widowControl w:val="0"/>
        <w:numPr>
          <w:ilvl w:val="0"/>
          <w:numId w:val="3"/>
        </w:numPr>
        <w:shd w:val="clear" w:color="auto" w:fill="auto"/>
        <w:tabs>
          <w:tab w:pos="982"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Валиуллин Р.Р. - Заместитель руководителя Управления;</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Членов комиссии:</w:t>
      </w:r>
    </w:p>
    <w:p>
      <w:pPr>
        <w:pStyle w:val="Style22"/>
        <w:keepNext w:val="0"/>
        <w:keepLines w:val="0"/>
        <w:widowControl w:val="0"/>
        <w:numPr>
          <w:ilvl w:val="0"/>
          <w:numId w:val="3"/>
        </w:numPr>
        <w:shd w:val="clear" w:color="auto" w:fill="auto"/>
        <w:tabs>
          <w:tab w:pos="982"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Иванчикова Е.А. - Начальник отдела Управления;</w:t>
      </w:r>
    </w:p>
    <w:p>
      <w:pPr>
        <w:pStyle w:val="Style22"/>
        <w:keepNext w:val="0"/>
        <w:keepLines w:val="0"/>
        <w:widowControl w:val="0"/>
        <w:numPr>
          <w:ilvl w:val="0"/>
          <w:numId w:val="3"/>
        </w:numPr>
        <w:shd w:val="clear" w:color="auto" w:fill="auto"/>
        <w:tabs>
          <w:tab w:pos="982" w:val="left"/>
        </w:tabs>
        <w:bidi w:val="0"/>
        <w:spacing w:before="0" w:after="240" w:line="240" w:lineRule="auto"/>
        <w:ind w:left="0" w:right="0" w:firstLine="720"/>
        <w:jc w:val="left"/>
      </w:pPr>
      <w:r>
        <w:rPr>
          <w:color w:val="000000"/>
          <w:spacing w:val="0"/>
          <w:w w:val="100"/>
          <w:position w:val="0"/>
          <w:sz w:val="24"/>
          <w:szCs w:val="24"/>
          <w:shd w:val="clear" w:color="auto" w:fill="auto"/>
          <w:lang w:val="ru-RU" w:eastAsia="ru-RU" w:bidi="ru-RU"/>
        </w:rPr>
        <w:t>Смоль М.С.- Эксперт отдела Управления,</w:t>
      </w:r>
    </w:p>
    <w:p>
      <w:pPr>
        <w:pStyle w:val="Style22"/>
        <w:keepNext w:val="0"/>
        <w:keepLines w:val="0"/>
        <w:widowControl w:val="0"/>
        <w:numPr>
          <w:ilvl w:val="0"/>
          <w:numId w:val="3"/>
        </w:numPr>
        <w:shd w:val="clear" w:color="auto" w:fill="auto"/>
        <w:tabs>
          <w:tab w:pos="10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 Заявителя - посредством видеоконференц-связи Кимпицкий В.С. по доверенности № 5 от 23.09.2024 г.;</w:t>
      </w:r>
    </w:p>
    <w:p>
      <w:pPr>
        <w:pStyle w:val="Style22"/>
        <w:keepNext w:val="0"/>
        <w:keepLines w:val="0"/>
        <w:widowControl w:val="0"/>
        <w:numPr>
          <w:ilvl w:val="0"/>
          <w:numId w:val="3"/>
        </w:numPr>
        <w:shd w:val="clear" w:color="auto" w:fill="auto"/>
        <w:tabs>
          <w:tab w:pos="1026"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 Заказчика - посредством видеоконференц-связи Мелен Д.Д. по доверенности № 60 от</w:t>
      </w:r>
    </w:p>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26.09.2024 г.;</w:t>
      </w:r>
    </w:p>
    <w:p>
      <w:pPr>
        <w:pStyle w:val="Style2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от Уполномоченного органа - посредством видеоконференц-связи Пойлова Е.А. по доверен</w:t>
        <w:softHyphen/>
        <w:t>ности № 2 от 09.01.2024 г.,</w:t>
      </w:r>
    </w:p>
    <w:p>
      <w:pPr>
        <w:pStyle w:val="Style2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общества с ограниченной ответственностью "Янтарный берег" (ИНН: 9201010887; ОГРН: 1149204032966) от 24.09.2024 № 9527/24, на действия Заказчика - Департамен</w:t>
        <w:softHyphen/>
        <w:t>та социального развития Ханты-Мансийского автономного округа — Югры, Уполномоченного ор</w:t>
        <w:softHyphen/>
        <w:t>гана - Департамент государственного заказа Ханты-Мансийского автономного округа — Югры при проведении открытого конкурса в электронной форме, предметом которого является оказание услуг по организации отдыха и оздоровления детей в оздоровительной организации Краснодарско</w:t>
        <w:softHyphen/>
        <w:t>го края (Туапсинский район) (извещение № 0187200001724001815)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keepLines/>
        <w:widowControl w:val="0"/>
        <w:shd w:val="clear" w:color="auto" w:fill="auto"/>
        <w:bidi w:val="0"/>
        <w:spacing w:before="0" w:after="24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общества с ограниченной ответственностью "Янтарный берег" (ИНН: 9201010887; ОГРН: 1149204032966) от 24.09.2024 № 9527/24, на действия Заказчика - Департамента социального развития Ханты-Мансийского автономного округа — Югры, Уполномоченного органа - Департамент государственного заказа Ханты-Мансийского автономного округа — Югры при проведении открытого конкурса в электронной форме, предметом которого является оказание услуг по организации отдыха и оздоровления детей в оздоровительной организации Краснодарского края (Туапсинский район) (извещение № 0187200001724001815).</w:t>
      </w:r>
    </w:p>
    <w:p>
      <w:pPr>
        <w:pStyle w:val="Style2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доводе жалобы Заявитель указал следующее: Характеристика квалификации участников закупки, ввиду отсутствия предельных максимальных значений,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 заявок не корреспондируется с положениями Положения, установленного Постановлением Правительства РФ от 31.12.2021 ^ 2604.</w:t>
      </w:r>
    </w:p>
    <w:p>
      <w:pPr>
        <w:pStyle w:val="Style17"/>
        <w:keepNext/>
        <w:keepLines/>
        <w:widowControl w:val="0"/>
        <w:shd w:val="clear" w:color="auto" w:fill="auto"/>
        <w:bidi w:val="0"/>
        <w:spacing w:before="0" w:after="0" w:line="240" w:lineRule="auto"/>
        <w:ind w:left="0" w:right="0" w:firstLine="720"/>
        <w:jc w:val="both"/>
      </w:pPr>
      <w:bookmarkStart w:id="16" w:name="bookmark16"/>
      <w:r>
        <w:rPr>
          <w:color w:val="000000"/>
          <w:spacing w:val="0"/>
          <w:w w:val="100"/>
          <w:position w:val="0"/>
          <w:sz w:val="24"/>
          <w:szCs w:val="24"/>
          <w:shd w:val="clear" w:color="auto" w:fill="auto"/>
          <w:lang w:val="ru-RU" w:eastAsia="ru-RU" w:bidi="ru-RU"/>
        </w:rPr>
        <w:t>В ходе рассмотрения доводов сторон, материалов дела, Комиссией Управления установлено следующее.</w:t>
      </w:r>
      <w:bookmarkEnd w:id="16"/>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32 Закона о контрактной системе для оценки заявок участников закупки заказчик использует следующие критерии:</w:t>
      </w:r>
    </w:p>
    <w:p>
      <w:pPr>
        <w:pStyle w:val="Style22"/>
        <w:keepNext w:val="0"/>
        <w:keepLines w:val="0"/>
        <w:widowControl w:val="0"/>
        <w:numPr>
          <w:ilvl w:val="0"/>
          <w:numId w:val="5"/>
        </w:numPr>
        <w:shd w:val="clear" w:color="auto" w:fill="auto"/>
        <w:tabs>
          <w:tab w:pos="102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22"/>
        <w:keepNext w:val="0"/>
        <w:keepLines w:val="0"/>
        <w:widowControl w:val="0"/>
        <w:numPr>
          <w:ilvl w:val="0"/>
          <w:numId w:val="5"/>
        </w:numPr>
        <w:shd w:val="clear" w:color="auto" w:fill="auto"/>
        <w:tabs>
          <w:tab w:pos="105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22"/>
        <w:keepNext w:val="0"/>
        <w:keepLines w:val="0"/>
        <w:widowControl w:val="0"/>
        <w:numPr>
          <w:ilvl w:val="0"/>
          <w:numId w:val="5"/>
        </w:numPr>
        <w:shd w:val="clear" w:color="auto" w:fill="auto"/>
        <w:tabs>
          <w:tab w:pos="104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22"/>
        <w:keepNext w:val="0"/>
        <w:keepLines w:val="0"/>
        <w:widowControl w:val="0"/>
        <w:numPr>
          <w:ilvl w:val="0"/>
          <w:numId w:val="5"/>
        </w:numPr>
        <w:shd w:val="clear" w:color="auto" w:fill="auto"/>
        <w:tabs>
          <w:tab w:pos="103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w:t>
      </w:r>
      <w:r>
        <w:rPr>
          <w:color w:val="000000"/>
          <w:spacing w:val="0"/>
          <w:w w:val="100"/>
          <w:position w:val="0"/>
          <w:sz w:val="24"/>
          <w:szCs w:val="24"/>
          <w:shd w:val="clear" w:color="auto" w:fill="auto"/>
          <w:lang w:val="ru-RU" w:eastAsia="ru-RU" w:bidi="ru-RU"/>
        </w:rPr>
        <w:t>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22"/>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22"/>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22"/>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22"/>
        <w:keepNext w:val="0"/>
        <w:keepLines w:val="0"/>
        <w:widowControl w:val="0"/>
        <w:numPr>
          <w:ilvl w:val="0"/>
          <w:numId w:val="7"/>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22"/>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2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Абзацем 3 подпункта "в" пункта 28 Положения установлено, что в случае применения показателя оценки, предусмотренного подпунктом "в" пункта 24 Положения, документом, предусмотренным приложением ^ 1 к Положению,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7"/>
        <w:keepNext/>
        <w:keepLines/>
        <w:widowControl w:val="0"/>
        <w:shd w:val="clear" w:color="auto" w:fill="auto"/>
        <w:bidi w:val="0"/>
        <w:spacing w:before="0" w:after="0" w:line="240" w:lineRule="auto"/>
        <w:ind w:left="0" w:right="0" w:firstLine="720"/>
        <w:jc w:val="both"/>
      </w:pPr>
      <w:bookmarkStart w:id="18" w:name="bookmark18"/>
      <w:r>
        <w:rPr>
          <w:color w:val="000000"/>
          <w:spacing w:val="0"/>
          <w:w w:val="100"/>
          <w:position w:val="0"/>
          <w:sz w:val="24"/>
          <w:szCs w:val="24"/>
          <w:shd w:val="clear" w:color="auto" w:fill="auto"/>
          <w:lang w:val="ru-RU" w:eastAsia="ru-RU" w:bidi="ru-RU"/>
        </w:rPr>
        <w:t>Относительно довода жалобы Комиссия Управления поясняет следующее.</w:t>
      </w:r>
      <w:bookmarkEnd w:id="18"/>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проанализировав положения извещения, установила, что согласно порядку рассмотрения и оценки заявок на участие в конкурсе по закупке № 0187200001724001815 оценка заявок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осуществляется по формуле, предусмотренной подпунктом "б" пункта 20 раздела V Положения.</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Критериях оценки заявок по детализирующему показателю показателя «наличие у участников закупки опыта работы, связанного с предметом контракта» в рамках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установлено, в том числе следующее:</w:t>
      </w:r>
    </w:p>
    <w:p>
      <w:pPr>
        <w:pStyle w:val="Style2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"характеристика квалификации участников закупки № 1 наибольшая цена одного из исполненных участником закупки договоров (контрактов)</w:t>
      </w:r>
      <w:r>
        <w:br w:type="page"/>
      </w:r>
    </w:p>
    <w:p>
      <w:pPr>
        <w:widowControl w:val="0"/>
        <w:spacing w:line="1" w:lineRule="exact"/>
      </w:pPr>
      <w:r>
        <mc:AlternateContent>
          <mc:Choice Requires="wps">
            <w:drawing>
              <wp:anchor distT="24130" distB="94615" distL="0" distR="0" simplePos="0" relativeHeight="125829383" behindDoc="0" locked="0" layoutInCell="1" allowOverlap="1">
                <wp:simplePos x="0" y="0"/>
                <wp:positionH relativeFrom="page">
                  <wp:posOffset>2762885</wp:posOffset>
                </wp:positionH>
                <wp:positionV relativeFrom="paragraph">
                  <wp:posOffset>24130</wp:posOffset>
                </wp:positionV>
                <wp:extent cx="1334770" cy="417830"/>
                <wp:wrapTopAndBottom/>
                <wp:docPr id="11" name="Shape 11"/>
                <a:graphic xmlns:a="http://schemas.openxmlformats.org/drawingml/2006/main">
                  <a:graphicData uri="http://schemas.microsoft.com/office/word/2010/wordprocessingShape">
                    <wps:wsp>
                      <wps:cNvSpPr txBox="1"/>
                      <wps:spPr>
                        <a:xfrm>
                          <a:ext cx="1334770" cy="417830"/>
                        </a:xfrm>
                        <a:prstGeom prst="rect"/>
                        <a:noFill/>
                      </wps:spPr>
                      <wps:txbx>
                        <w:txbxContent>
                          <w:p>
                            <w:pPr>
                              <w:pStyle w:val="Style10"/>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БХ=</w:t>
                            </w:r>
                            <w:r>
                              <w:rPr>
                                <w:b/>
                                <w:bCs/>
                                <w:color w:val="000000"/>
                                <w:spacing w:val="0"/>
                                <w:w w:val="100"/>
                                <w:position w:val="0"/>
                                <w:sz w:val="44"/>
                                <w:szCs w:val="44"/>
                                <w:shd w:val="clear" w:color="auto" w:fill="auto"/>
                                <w:lang w:val="ru-RU" w:eastAsia="ru-RU" w:bidi="ru-RU"/>
                              </w:rPr>
                              <w:t xml:space="preserve">( </w:t>
                            </w: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--Х</w:t>
                            </w:r>
                            <w:r>
                              <w:rPr>
                                <w:i/>
                                <w:iCs/>
                                <w:color w:val="000000"/>
                                <w:spacing w:val="0"/>
                                <w:w w:val="100"/>
                                <w:position w:val="0"/>
                                <w:sz w:val="19"/>
                                <w:szCs w:val="19"/>
                                <w:shd w:val="clear" w:color="auto" w:fill="auto"/>
                                <w:lang w:val="ru-RU" w:eastAsia="ru-RU" w:bidi="ru-RU"/>
                              </w:rPr>
                              <w:t>тп</w:t>
                            </w:r>
                            <w:r>
                              <w:rPr>
                                <w:b/>
                                <w:bCs/>
                                <w:color w:val="000000"/>
                                <w:spacing w:val="0"/>
                                <w:w w:val="100"/>
                                <w:position w:val="0"/>
                                <w:sz w:val="44"/>
                                <w:szCs w:val="44"/>
                                <w:shd w:val="clear" w:color="auto" w:fill="auto"/>
                                <w:lang w:val="ru-RU" w:eastAsia="ru-RU" w:bidi="ru-RU"/>
                              </w:rPr>
                              <w:t xml:space="preserve"> ) </w:t>
                            </w:r>
                            <w:r>
                              <w:rPr>
                                <w:color w:val="000000"/>
                                <w:spacing w:val="0"/>
                                <w:w w:val="100"/>
                                <w:position w:val="0"/>
                                <w:shd w:val="clear" w:color="auto" w:fill="auto"/>
                                <w:lang w:val="ru-RU" w:eastAsia="ru-RU" w:bidi="ru-RU"/>
                              </w:rPr>
                              <w:t>X</w:t>
                            </w:r>
                            <w:bookmarkEnd w:id="0"/>
                          </w:p>
                        </w:txbxContent>
                      </wps:txbx>
                      <wps:bodyPr wrap="none" lIns="0" tIns="0" rIns="0" bIns="0">
                        <a:noAutoFit/>
                      </wps:bodyPr>
                    </wps:wsp>
                  </a:graphicData>
                </a:graphic>
              </wp:anchor>
            </w:drawing>
          </mc:Choice>
          <mc:Fallback>
            <w:pict>
              <v:shape id="_x0000_s1037" type="#_x0000_t202" style="position:absolute;margin-left:217.55000000000001pt;margin-top:1.9000000000000001pt;width:105.10000000000001pt;height:32.899999999999999pt;z-index:-125829370;mso-wrap-distance-left:0;mso-wrap-distance-top:1.9000000000000001pt;mso-wrap-distance-right:0;mso-wrap-distance-bottom:7.4500000000000002pt;mso-position-horizontal-relative:page" filled="f" stroked="f">
                <v:textbox inset="0,0,0,0">
                  <w:txbxContent>
                    <w:p>
                      <w:pPr>
                        <w:pStyle w:val="Style10"/>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БХ=</w:t>
                      </w:r>
                      <w:r>
                        <w:rPr>
                          <w:b/>
                          <w:bCs/>
                          <w:color w:val="000000"/>
                          <w:spacing w:val="0"/>
                          <w:w w:val="100"/>
                          <w:position w:val="0"/>
                          <w:sz w:val="44"/>
                          <w:szCs w:val="44"/>
                          <w:shd w:val="clear" w:color="auto" w:fill="auto"/>
                          <w:lang w:val="ru-RU" w:eastAsia="ru-RU" w:bidi="ru-RU"/>
                        </w:rPr>
                        <w:t xml:space="preserve">( </w:t>
                      </w: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--Х</w:t>
                      </w:r>
                      <w:r>
                        <w:rPr>
                          <w:i/>
                          <w:iCs/>
                          <w:color w:val="000000"/>
                          <w:spacing w:val="0"/>
                          <w:w w:val="100"/>
                          <w:position w:val="0"/>
                          <w:sz w:val="19"/>
                          <w:szCs w:val="19"/>
                          <w:shd w:val="clear" w:color="auto" w:fill="auto"/>
                          <w:lang w:val="ru-RU" w:eastAsia="ru-RU" w:bidi="ru-RU"/>
                        </w:rPr>
                        <w:t>тп</w:t>
                      </w:r>
                      <w:r>
                        <w:rPr>
                          <w:b/>
                          <w:bCs/>
                          <w:color w:val="000000"/>
                          <w:spacing w:val="0"/>
                          <w:w w:val="100"/>
                          <w:position w:val="0"/>
                          <w:sz w:val="44"/>
                          <w:szCs w:val="44"/>
                          <w:shd w:val="clear" w:color="auto" w:fill="auto"/>
                          <w:lang w:val="ru-RU" w:eastAsia="ru-RU" w:bidi="ru-RU"/>
                        </w:rPr>
                        <w:t xml:space="preserve"> ) </w:t>
                      </w:r>
                      <w:r>
                        <w:rPr>
                          <w:color w:val="000000"/>
                          <w:spacing w:val="0"/>
                          <w:w w:val="100"/>
                          <w:position w:val="0"/>
                          <w:shd w:val="clear" w:color="auto" w:fill="auto"/>
                          <w:lang w:val="ru-RU" w:eastAsia="ru-RU" w:bidi="ru-RU"/>
                        </w:rPr>
                        <w:t>X</w:t>
                      </w:r>
                      <w:bookmarkEnd w:id="0"/>
                    </w:p>
                  </w:txbxContent>
                </v:textbox>
                <w10:wrap type="topAndBottom" anchorx="page"/>
              </v:shape>
            </w:pict>
          </mc:Fallback>
        </mc:AlternateContent>
      </w:r>
      <w:r>
        <mc:AlternateContent>
          <mc:Choice Requires="wps">
            <w:drawing>
              <wp:anchor distT="0" distB="280670" distL="0" distR="0" simplePos="0" relativeHeight="125829385" behindDoc="0" locked="0" layoutInCell="1" allowOverlap="1">
                <wp:simplePos x="0" y="0"/>
                <wp:positionH relativeFrom="page">
                  <wp:posOffset>4417695</wp:posOffset>
                </wp:positionH>
                <wp:positionV relativeFrom="paragraph">
                  <wp:posOffset>0</wp:posOffset>
                </wp:positionV>
                <wp:extent cx="280670" cy="255905"/>
                <wp:wrapTopAndBottom/>
                <wp:docPr id="13" name="Shape 13"/>
                <a:graphic xmlns:a="http://schemas.openxmlformats.org/drawingml/2006/main">
                  <a:graphicData uri="http://schemas.microsoft.com/office/word/2010/wordprocessingShape">
                    <wps:wsp>
                      <wps:cNvSpPr txBox="1"/>
                      <wps:spPr>
                        <a:xfrm>
                          <a:ext cx="280670" cy="255905"/>
                        </a:xfrm>
                        <a:prstGeom prst="rect"/>
                        <a:noFill/>
                      </wps:spPr>
                      <wps:txbx>
                        <w:txbxContent>
                          <w:p>
                            <w:pPr>
                              <w:pStyle w:val="Style10"/>
                              <w:keepNext/>
                              <w:keepLines/>
                              <w:widowControl w:val="0"/>
                              <w:pBdr>
                                <w:bottom w:val="single" w:sz="4" w:space="0" w:color="auto"/>
                              </w:pBdr>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100</w:t>
                            </w:r>
                            <w:bookmarkEnd w:id="2"/>
                          </w:p>
                        </w:txbxContent>
                      </wps:txbx>
                      <wps:bodyPr wrap="none" lIns="0" tIns="0" rIns="0" bIns="0">
                        <a:noAutoFit/>
                      </wps:bodyPr>
                    </wps:wsp>
                  </a:graphicData>
                </a:graphic>
              </wp:anchor>
            </w:drawing>
          </mc:Choice>
          <mc:Fallback>
            <w:pict>
              <v:shape id="_x0000_s1039" type="#_x0000_t202" style="position:absolute;margin-left:347.85000000000002pt;margin-top:0;width:22.100000000000001pt;height:20.150000000000002pt;z-index:-125829368;mso-wrap-distance-left:0;mso-wrap-distance-right:0;mso-wrap-distance-bottom:22.100000000000001pt;mso-position-horizontal-relative:page" filled="f" stroked="f">
                <v:textbox inset="0,0,0,0">
                  <w:txbxContent>
                    <w:p>
                      <w:pPr>
                        <w:pStyle w:val="Style10"/>
                        <w:keepNext/>
                        <w:keepLines/>
                        <w:widowControl w:val="0"/>
                        <w:pBdr>
                          <w:bottom w:val="single" w:sz="4" w:space="0" w:color="auto"/>
                        </w:pBdr>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100</w:t>
                      </w:r>
                      <w:bookmarkEnd w:id="2"/>
                    </w:p>
                  </w:txbxContent>
                </v:textbox>
                <w10:wrap type="topAndBottom" anchorx="page"/>
              </v:shape>
            </w:pict>
          </mc:Fallback>
        </mc:AlternateContent>
      </w:r>
      <w:r>
        <mc:AlternateContent>
          <mc:Choice Requires="wps">
            <w:drawing>
              <wp:anchor distT="259080" distB="0" distL="0" distR="0" simplePos="0" relativeHeight="125829387" behindDoc="0" locked="0" layoutInCell="1" allowOverlap="1">
                <wp:simplePos x="0" y="0"/>
                <wp:positionH relativeFrom="page">
                  <wp:posOffset>4134485</wp:posOffset>
                </wp:positionH>
                <wp:positionV relativeFrom="paragraph">
                  <wp:posOffset>259080</wp:posOffset>
                </wp:positionV>
                <wp:extent cx="838200" cy="277495"/>
                <wp:wrapTopAndBottom/>
                <wp:docPr id="15" name="Shape 15"/>
                <a:graphic xmlns:a="http://schemas.openxmlformats.org/drawingml/2006/main">
                  <a:graphicData uri="http://schemas.microsoft.com/office/word/2010/wordprocessingShape">
                    <wps:wsp>
                      <wps:cNvSpPr txBox="1"/>
                      <wps:spPr>
                        <a:xfrm>
                          <a:ext cx="838200" cy="2774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vertAlign w:val="superscript"/>
                                <w:lang w:val="ru-RU" w:eastAsia="ru-RU" w:bidi="ru-RU"/>
                              </w:rPr>
                              <w:t>Х</w:t>
                            </w:r>
                            <w:r>
                              <w:rPr>
                                <w:b w:val="0"/>
                                <w:bCs w:val="0"/>
                                <w:i/>
                                <w:iCs/>
                                <w:color w:val="000000"/>
                                <w:spacing w:val="0"/>
                                <w:w w:val="100"/>
                                <w:position w:val="0"/>
                                <w:shd w:val="clear" w:color="auto" w:fill="auto"/>
                                <w:lang w:val="ru-RU" w:eastAsia="ru-RU" w:bidi="ru-RU"/>
                              </w:rPr>
                              <w:t>т ах</w:t>
                            </w:r>
                            <w:r>
                              <w:rPr>
                                <w:b w:val="0"/>
                                <w:bCs w:val="0"/>
                                <w:color w:val="000000"/>
                                <w:spacing w:val="0"/>
                                <w:w w:val="100"/>
                                <w:position w:val="0"/>
                                <w:shd w:val="clear" w:color="auto" w:fill="auto"/>
                                <w:lang w:val="ru-RU" w:eastAsia="ru-RU" w:bidi="ru-RU"/>
                              </w:rPr>
                              <w:t xml:space="preserve"> </w:t>
                            </w:r>
                            <w:r>
                              <w:rPr>
                                <w:b w:val="0"/>
                                <w:bCs w:val="0"/>
                                <w:color w:val="000000"/>
                                <w:spacing w:val="0"/>
                                <w:w w:val="100"/>
                                <w:position w:val="0"/>
                                <w:shd w:val="clear" w:color="auto" w:fill="auto"/>
                                <w:vertAlign w:val="superscript"/>
                                <w:lang w:val="ru-RU" w:eastAsia="ru-RU" w:bidi="ru-RU"/>
                              </w:rPr>
                              <w:t>Х</w:t>
                            </w:r>
                            <w:r>
                              <w:rPr>
                                <w:b w:val="0"/>
                                <w:bCs w:val="0"/>
                                <w:i/>
                                <w:iCs/>
                                <w:color w:val="000000"/>
                                <w:spacing w:val="0"/>
                                <w:w w:val="100"/>
                                <w:position w:val="0"/>
                                <w:shd w:val="clear" w:color="auto" w:fill="auto"/>
                                <w:lang w:val="ru-RU" w:eastAsia="ru-RU" w:bidi="ru-RU"/>
                              </w:rPr>
                              <w:t>т т</w:t>
                            </w:r>
                          </w:p>
                        </w:txbxContent>
                      </wps:txbx>
                      <wps:bodyPr wrap="none" lIns="0" tIns="0" rIns="0" bIns="0">
                        <a:noAutoFit/>
                      </wps:bodyPr>
                    </wps:wsp>
                  </a:graphicData>
                </a:graphic>
              </wp:anchor>
            </w:drawing>
          </mc:Choice>
          <mc:Fallback>
            <w:pict>
              <v:shape id="_x0000_s1041" type="#_x0000_t202" style="position:absolute;margin-left:325.55000000000001pt;margin-top:20.400000000000002pt;width:66.pt;height:21.850000000000001pt;z-index:-125829366;mso-wrap-distance-left:0;mso-wrap-distance-top:20.40000000000000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vertAlign w:val="superscript"/>
                          <w:lang w:val="ru-RU" w:eastAsia="ru-RU" w:bidi="ru-RU"/>
                        </w:rPr>
                        <w:t>Х</w:t>
                      </w:r>
                      <w:r>
                        <w:rPr>
                          <w:b w:val="0"/>
                          <w:bCs w:val="0"/>
                          <w:i/>
                          <w:iCs/>
                          <w:color w:val="000000"/>
                          <w:spacing w:val="0"/>
                          <w:w w:val="100"/>
                          <w:position w:val="0"/>
                          <w:shd w:val="clear" w:color="auto" w:fill="auto"/>
                          <w:lang w:val="ru-RU" w:eastAsia="ru-RU" w:bidi="ru-RU"/>
                        </w:rPr>
                        <w:t>т ах</w:t>
                      </w:r>
                      <w:r>
                        <w:rPr>
                          <w:b w:val="0"/>
                          <w:bCs w:val="0"/>
                          <w:color w:val="000000"/>
                          <w:spacing w:val="0"/>
                          <w:w w:val="100"/>
                          <w:position w:val="0"/>
                          <w:shd w:val="clear" w:color="auto" w:fill="auto"/>
                          <w:lang w:val="ru-RU" w:eastAsia="ru-RU" w:bidi="ru-RU"/>
                        </w:rPr>
                        <w:t xml:space="preserve"> </w:t>
                      </w:r>
                      <w:r>
                        <w:rPr>
                          <w:b w:val="0"/>
                          <w:bCs w:val="0"/>
                          <w:color w:val="000000"/>
                          <w:spacing w:val="0"/>
                          <w:w w:val="100"/>
                          <w:position w:val="0"/>
                          <w:shd w:val="clear" w:color="auto" w:fill="auto"/>
                          <w:vertAlign w:val="superscript"/>
                          <w:lang w:val="ru-RU" w:eastAsia="ru-RU" w:bidi="ru-RU"/>
                        </w:rPr>
                        <w:t>Х</w:t>
                      </w:r>
                      <w:r>
                        <w:rPr>
                          <w:b w:val="0"/>
                          <w:bCs w:val="0"/>
                          <w:i/>
                          <w:iCs/>
                          <w:color w:val="000000"/>
                          <w:spacing w:val="0"/>
                          <w:w w:val="100"/>
                          <w:position w:val="0"/>
                          <w:shd w:val="clear" w:color="auto" w:fill="auto"/>
                          <w:lang w:val="ru-RU" w:eastAsia="ru-RU" w:bidi="ru-RU"/>
                        </w:rPr>
                        <w:t>т т</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где:</w:t>
      </w:r>
    </w:p>
    <w:p>
      <w:pPr>
        <w:pStyle w:val="Style2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Хтах - максимальное значение квалификация участников закупки, содержащееся в заявках (частях заявок), подлежащих в соответствии с Законом о контрактной системе оценке по критерию оценки «Квалификация участников закупки»;</w:t>
      </w:r>
    </w:p>
    <w:p>
      <w:pPr>
        <w:pStyle w:val="Style2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Х/ - значение квалификация участников закупки, содержащееся в предложении участника закупки, заявка (часть заявки) которого подлежит в соответствии с Законом о контрактной системе оценке по критерию оценки «Квалификация участников закупки»;</w:t>
      </w:r>
    </w:p>
    <w:p>
      <w:pPr>
        <w:pStyle w:val="Style22"/>
        <w:keepNext w:val="0"/>
        <w:keepLines w:val="0"/>
        <w:widowControl w:val="0"/>
        <w:shd w:val="clear" w:color="auto" w:fill="auto"/>
        <w:bidi w:val="0"/>
        <w:spacing w:before="0" w:after="240" w:line="240" w:lineRule="auto"/>
        <w:ind w:left="0" w:right="0" w:firstLine="720"/>
        <w:jc w:val="both"/>
      </w:pPr>
      <w:r>
        <w:rPr>
          <w:i/>
          <w:iCs/>
          <w:color w:val="000000"/>
          <w:spacing w:val="0"/>
          <w:w w:val="100"/>
          <w:position w:val="0"/>
          <w:sz w:val="24"/>
          <w:szCs w:val="24"/>
          <w:shd w:val="clear" w:color="auto" w:fill="auto"/>
          <w:lang w:val="ru-RU" w:eastAsia="ru-RU" w:bidi="ru-RU"/>
        </w:rPr>
        <w:t>Хтт - минимальное значение квалификация участников закупки, содержащееся в заявках (частях заявок), подлежащих в соответствии с Законом о контрактной системе оценке по критерию оценки «Квалификация участников закупки»".</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Применение указанной формулы является допустимым в соответствии с законодательством. Заказчик сам вправе выбирать формулу из числа предусмотренных пунктом 20 Положения.</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позицией Минфина РФ, изложенной в письме от 14.02.2022 ^ 24-01- 09/10138, формулы оценки, предусмотренные пунктом 20 Положения об оценке заявок на участие в закупке, предусматривают оценку с учетом того, какое значение является для заказчика наилучшим, а также с учетом наличия или отсутствия предельного (предельных) минимального и (или) максимального значения (значений) показателя.</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Позицией ФАС России, изложенной в письме от 01.06.2023 ^ ПИ/43159/23, подтверждается право заказчика самостоятельно выбрать формулу из числа предусмотренных пунктом 20 Положения, в том числе право установить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Аналогичная позиция, подтверждающая право заказчика не устанавливать предельное (предельные) значение (значения) детализирующих показателей в случае применения формул, предусмотренных подпунктами "а" и "б" пункта 20 Положения об оценке заявок, изложена в информационном письме Минфина России от 14.02.2022 ^ 24-01-09/10138.</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 в составе жалобы Заявитель указывает на то, что формирование порядка оценки без указания максимального количественного значения общей цены исполненных участником закупки договоров не способствует выявлению лучших условий исполнения контракта, поскольку не установление в извещении о проведении закупки предельного значения по опыту, который подлежит оценке, приводит к необоснованному предоставлению участнику закупки, обладающему максимальным опытом, преимущественного положения, которое невозможно преодолеть в ходе конкурентной борьбы даже в случае значительного снижения цены на границе экономической рентабельности и за ее пределами, в случае, если один из участников показывает избыточный опыт, остальные участники получат необоснованно низкий балл по данному критерию даже при наличии достаточного опыта выполнения аналогичных работ, сопоставимого с объемом закупки.</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Одновременно с этим Закон о контрактной системе не регламентирует установление в конкурсной документации тех или иных показателей, а также необходимую информацию, раскрывающую содержание нестоимостных критериев.</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прерогатива определить перечень показателей, их содержание и наполняемость, перечень документов, предоставляемых в составе заявки по показателям, а также значимость каждого показателя,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принадлежит Заказчику.</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части 4 статьи 24 Закон о контрактной системе победителем конкурса признается участник закупки, который предложил лучшие условия исполнения контракта, и заявка на участие </w:t>
      </w:r>
      <w:r>
        <w:rPr>
          <w:color w:val="000000"/>
          <w:spacing w:val="0"/>
          <w:w w:val="100"/>
          <w:position w:val="0"/>
          <w:sz w:val="24"/>
          <w:szCs w:val="24"/>
          <w:shd w:val="clear" w:color="auto" w:fill="auto"/>
          <w:lang w:val="ru-RU" w:eastAsia="ru-RU" w:bidi="ru-RU"/>
        </w:rPr>
        <w:t>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отмечает, что оспариваемый порядок оценки не препятствует участию в конкурсе,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Доводы заявителя об ограничении количества участников закупки установленным Заказчиком порядком оценки не отвечают существу проведения процедуры конкурса, поскольку положения порядка оценки влияют на присвоение баллов в отношении поданных заявок, но не определяют условия допуска участников к конкурсу. При таких данных, иное видение Заявителем методики оценки не может свидетельствовать о нарушении заказчиком Закон о контрактной системе.</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не указывает в жалобе, в чем заключается несоответствие оспариваемых критериев и порядка оценки требованиям законодательства о контрактной системе, не представил обоснования и доказательства, каким образом нарушены права и законные интересы подателя жалобы как участника закупки, в том числе в части ограничения его участия в закупке.</w:t>
      </w:r>
    </w:p>
    <w:p>
      <w:pPr>
        <w:pStyle w:val="Style2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Заявителя является необоснованным.</w:t>
      </w:r>
    </w:p>
    <w:p>
      <w:pPr>
        <w:pStyle w:val="Style2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общества с ограниченной ответственностью "Янтарный берег" (ИНН: 9201010887; ОГРН: 1149204032966) от 24.09.2024 № 9527/24 рассмотрена Комиссией Управления в соответствии с требованиями Закона о контрактной системе.</w:t>
      </w:r>
    </w:p>
    <w:p>
      <w:pPr>
        <w:pStyle w:val="Style2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статей 99, 106 Закона о контрактной системе, Комиссия Управления</w:t>
      </w:r>
    </w:p>
    <w:p>
      <w:pPr>
        <w:pStyle w:val="Style17"/>
        <w:keepNext/>
        <w:keepLines/>
        <w:widowControl w:val="0"/>
        <w:shd w:val="clear" w:color="auto" w:fill="auto"/>
        <w:bidi w:val="0"/>
        <w:spacing w:before="0" w:after="240" w:line="240" w:lineRule="auto"/>
        <w:ind w:left="0" w:right="0" w:firstLine="0"/>
        <w:jc w:val="center"/>
      </w:pPr>
      <w:bookmarkStart w:id="20" w:name="bookmark20"/>
      <w:r>
        <w:rPr>
          <w:color w:val="000000"/>
          <w:spacing w:val="0"/>
          <w:w w:val="100"/>
          <w:position w:val="0"/>
          <w:sz w:val="24"/>
          <w:szCs w:val="24"/>
          <w:shd w:val="clear" w:color="auto" w:fill="auto"/>
          <w:lang w:val="ru-RU" w:eastAsia="ru-RU" w:bidi="ru-RU"/>
        </w:rPr>
        <w:t>РЕШИЛА:</w:t>
      </w:r>
      <w:bookmarkEnd w:id="20"/>
    </w:p>
    <w:p>
      <w:pPr>
        <w:pStyle w:val="Style22"/>
        <w:keepNext w:val="0"/>
        <w:keepLines w:val="0"/>
        <w:widowControl w:val="0"/>
        <w:numPr>
          <w:ilvl w:val="0"/>
          <w:numId w:val="9"/>
        </w:numPr>
        <w:shd w:val="clear" w:color="auto" w:fill="auto"/>
        <w:tabs>
          <w:tab w:pos="104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"Янтарный берег" (ИНН: 9201010887; ОГРН: 1149204032966) от 24.09.2024 № 9527/24, на действия Заказчика - Департамента социального развития Ханты-Мансийского автономного округа — Югры, Уполномоченного органа - Департамент государственного заказа Ханты-Мансийского автономного округа — Югры при проведении открытого конкурса в электронной форме, предметом которого является оказание услуг по организации отдыха и оздоровления детей в оздоровительной организации Краснодарского края (Туапсинский район) (извещение № 0187200001724001815) необоснованной.</w:t>
      </w:r>
    </w:p>
    <w:p>
      <w:pPr>
        <w:pStyle w:val="Style22"/>
        <w:keepNext w:val="0"/>
        <w:keepLines w:val="0"/>
        <w:widowControl w:val="0"/>
        <w:numPr>
          <w:ilvl w:val="0"/>
          <w:numId w:val="9"/>
        </w:numPr>
        <w:shd w:val="clear" w:color="auto" w:fill="auto"/>
        <w:tabs>
          <w:tab w:pos="169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Предписание не выдавать.</w:t>
      </w:r>
    </w:p>
    <w:p>
      <w:pPr>
        <w:pStyle w:val="Style22"/>
        <w:keepNext w:val="0"/>
        <w:keepLines w:val="0"/>
        <w:widowControl w:val="0"/>
        <w:numPr>
          <w:ilvl w:val="0"/>
          <w:numId w:val="9"/>
        </w:numPr>
        <w:shd w:val="clear" w:color="auto" w:fill="auto"/>
        <w:tabs>
          <w:tab w:pos="1038" w:val="left"/>
        </w:tabs>
        <w:bidi w:val="0"/>
        <w:spacing w:before="0" w:after="800" w:line="240" w:lineRule="auto"/>
        <w:ind w:left="0" w:right="0" w:firstLine="720"/>
        <w:jc w:val="both"/>
      </w:pPr>
      <w:r>
        <w:rPr>
          <w:color w:val="000000"/>
          <w:spacing w:val="0"/>
          <w:w w:val="100"/>
          <w:position w:val="0"/>
          <w:sz w:val="24"/>
          <w:szCs w:val="24"/>
          <w:shd w:val="clear" w:color="auto" w:fill="auto"/>
          <w:lang w:val="ru-RU" w:eastAsia="ru-RU" w:bidi="ru-RU"/>
        </w:rPr>
        <w:t xml:space="preserve">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sz w:val="24"/>
          <w:szCs w:val="24"/>
          <w:u w:val="single"/>
          <w:shd w:val="clear" w:color="auto" w:fill="auto"/>
          <w:lang w:val="ru-RU" w:eastAsia="ru-RU" w:bidi="ru-RU"/>
        </w:rPr>
        <w:t xml:space="preserve">( </w:t>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хакиркгдоу. ги</w:t>
      </w:r>
      <w:r>
        <w:rPr>
          <w:color w:val="000000"/>
          <w:spacing w:val="0"/>
          <w:w w:val="100"/>
          <w:position w:val="0"/>
          <w:sz w:val="24"/>
          <w:szCs w:val="24"/>
          <w:u w:val="single"/>
          <w:shd w:val="clear" w:color="auto" w:fill="auto"/>
          <w:lang w:val="ru-RU" w:eastAsia="ru-RU" w:bidi="ru-RU"/>
        </w:rPr>
        <w:t>)</w:t>
      </w:r>
      <w:r>
        <w:rPr>
          <w:color w:val="000000"/>
          <w:spacing w:val="0"/>
          <w:w w:val="100"/>
          <w:position w:val="0"/>
          <w:sz w:val="24"/>
          <w:szCs w:val="24"/>
          <w:shd w:val="clear" w:color="auto" w:fill="auto"/>
          <w:lang w:val="ru-RU" w:eastAsia="ru-RU" w:bidi="ru-RU"/>
        </w:rPr>
        <w:t>.</w:t>
      </w:r>
    </w:p>
    <w:p>
      <w:pPr>
        <w:pStyle w:val="Style22"/>
        <w:keepNext w:val="0"/>
        <w:keepLines w:val="0"/>
        <w:widowControl w:val="0"/>
        <w:shd w:val="clear" w:color="auto" w:fill="auto"/>
        <w:tabs>
          <w:tab w:pos="8266" w:val="left"/>
        </w:tabs>
        <w:bidi w:val="0"/>
        <w:spacing w:before="0" w:after="80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Р.Р. Валиуллин</w:t>
      </w:r>
    </w:p>
    <w:p>
      <w:pPr>
        <w:pStyle w:val="Style22"/>
        <w:keepNext w:val="0"/>
        <w:keepLines w:val="0"/>
        <w:widowControl w:val="0"/>
        <w:shd w:val="clear" w:color="auto" w:fill="auto"/>
        <w:tabs>
          <w:tab w:pos="8266" w:val="left"/>
        </w:tabs>
        <w:bidi w:val="0"/>
        <w:spacing w:before="0" w:after="80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Е.А. Иванчикова</w:t>
      </w:r>
    </w:p>
    <w:p>
      <w:pPr>
        <w:pStyle w:val="Style22"/>
        <w:keepNext w:val="0"/>
        <w:keepLines w:val="0"/>
        <w:widowControl w:val="0"/>
        <w:shd w:val="clear" w:color="auto" w:fill="auto"/>
        <w:bidi w:val="0"/>
        <w:spacing w:before="0" w:after="200" w:line="240" w:lineRule="auto"/>
        <w:ind w:left="0" w:right="680" w:firstLine="0"/>
        <w:jc w:val="right"/>
      </w:pPr>
      <w:r>
        <w:rPr>
          <w:color w:val="000000"/>
          <w:spacing w:val="0"/>
          <w:w w:val="100"/>
          <w:position w:val="0"/>
          <w:sz w:val="24"/>
          <w:szCs w:val="24"/>
          <w:shd w:val="clear" w:color="auto" w:fill="auto"/>
          <w:lang w:val="ru-RU" w:eastAsia="ru-RU" w:bidi="ru-RU"/>
        </w:rPr>
        <w:t>М.С. Смоль</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1"/>
      <w:footerReference w:type="first" r:id="rId12"/>
      <w:footnotePr>
        <w:pos w:val="pageBottom"/>
        <w:numFmt w:val="decimal"/>
        <w:numRestart w:val="continuous"/>
      </w:footnotePr>
      <w:pgSz w:w="11900" w:h="16840"/>
      <w:pgMar w:top="985" w:right="539" w:bottom="1198" w:left="1103"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9996170</wp:posOffset>
              </wp:positionV>
              <wp:extent cx="643255" cy="100330"/>
              <wp:wrapNone/>
              <wp:docPr id="17" name="Shape 17"/>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2024-7175</w:t>
                          </w:r>
                        </w:p>
                      </w:txbxContent>
                    </wps:txbx>
                    <wps:bodyPr wrap="none" lIns="0" tIns="0" rIns="0" bIns="0">
                      <a:spAutoFit/>
                    </wps:bodyPr>
                  </wps:wsp>
                </a:graphicData>
              </a:graphic>
            </wp:anchor>
          </w:drawing>
        </mc:Choice>
        <mc:Fallback>
          <w:pict>
            <v:shape id="_x0000_s1043" type="#_x0000_t202" style="position:absolute;margin-left:56.850000000000001pt;margin-top:787.10000000000002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9996170</wp:posOffset>
              </wp:positionV>
              <wp:extent cx="643255" cy="100330"/>
              <wp:wrapNone/>
              <wp:docPr id="19" name="Shape 19"/>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2024-7175</w:t>
                          </w:r>
                        </w:p>
                      </w:txbxContent>
                    </wps:txbx>
                    <wps:bodyPr wrap="none" lIns="0" tIns="0" rIns="0" bIns="0">
                      <a:spAutoFit/>
                    </wps:bodyPr>
                  </wps:wsp>
                </a:graphicData>
              </a:graphic>
            </wp:anchor>
          </w:drawing>
        </mc:Choice>
        <mc:Fallback>
          <w:pict>
            <v:shape id="_x0000_s1045" type="#_x0000_t202" style="position:absolute;margin-left:56.850000000000001pt;margin-top:787.10000000000002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3D60B1"/>
      <w:sz w:val="19"/>
      <w:szCs w:val="19"/>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iCs/>
      <w:smallCaps w:val="0"/>
      <w:strike w:val="0"/>
      <w:sz w:val="16"/>
      <w:szCs w:val="16"/>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2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Основной текст_"/>
    <w:basedOn w:val="DefaultParagraphFont"/>
    <w:link w:val="Style22"/>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3D60B1"/>
      <w:sz w:val="19"/>
      <w:szCs w:val="19"/>
      <w:u w:val="none"/>
    </w:rPr>
  </w:style>
  <w:style w:type="paragraph" w:customStyle="1" w:styleId="Style5">
    <w:name w:val="Основной текст (2)"/>
    <w:basedOn w:val="Normal"/>
    <w:link w:val="CharStyle6"/>
    <w:pPr>
      <w:widowControl w:val="0"/>
      <w:shd w:val="clear" w:color="auto" w:fill="auto"/>
      <w:spacing w:line="264" w:lineRule="auto"/>
      <w:ind w:firstLine="510"/>
    </w:pPr>
    <w:rPr>
      <w:rFonts w:ascii="Times New Roman" w:eastAsia="Times New Roman" w:hAnsi="Times New Roman" w:cs="Times New Roman"/>
      <w:b w:val="0"/>
      <w:bCs w:val="0"/>
      <w:i/>
      <w:iCs/>
      <w:smallCaps w:val="0"/>
      <w:strike w:val="0"/>
      <w:sz w:val="16"/>
      <w:szCs w:val="16"/>
      <w:u w:val="none"/>
    </w:rPr>
  </w:style>
  <w:style w:type="paragraph" w:customStyle="1" w:styleId="Style8">
    <w:name w:val="Подпись к картинке"/>
    <w:basedOn w:val="Normal"/>
    <w:link w:val="CharStyle9"/>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10">
    <w:name w:val="Заголовок №1"/>
    <w:basedOn w:val="Normal"/>
    <w:link w:val="CharStyle11"/>
    <w:pPr>
      <w:widowControl w:val="0"/>
      <w:shd w:val="clear" w:color="auto" w:fill="auto"/>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2"/>
    <w:basedOn w:val="Normal"/>
    <w:link w:val="CharStyle18"/>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Основной текст"/>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