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59753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597535"/>
                    </a:xfrm>
                    <a:prstGeom prst="rect"/>
                  </pic:spPr>
                </pic:pic>
              </a:graphicData>
            </a:graphic>
          </wp:inline>
        </w:drawing>
      </w:r>
    </w:p>
    <w:p>
      <w:pPr>
        <w:widowControl w:val="0"/>
        <w:spacing w:after="39" w:line="1" w:lineRule="exact"/>
      </w:pPr>
    </w:p>
    <w:p>
      <w:pPr>
        <w:pStyle w:val="Style5"/>
        <w:keepNext w:val="0"/>
        <w:keepLines w:val="0"/>
        <w:widowControl w:val="0"/>
        <w:shd w:val="clear" w:color="auto" w:fill="auto"/>
        <w:bidi w:val="0"/>
        <w:spacing w:before="0" w:after="4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40" w:line="240" w:lineRule="auto"/>
        <w:ind w:left="0" w:right="0" w:firstLine="0"/>
        <w:jc w:val="center"/>
      </w:pPr>
      <w:r>
        <w:rPr>
          <w:b/>
          <w:bCs/>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ind w:left="0" w:right="0" w:firstLine="0"/>
        <w:jc w:val="center"/>
      </w:pPr>
      <w:r>
        <w:rPr>
          <w:b/>
          <w:bCs/>
          <w:spacing w:val="0"/>
          <w:w w:val="100"/>
          <w:position w:val="0"/>
          <w:shd w:val="clear" w:color="auto" w:fill="auto"/>
          <w:lang w:val="ru-RU" w:eastAsia="ru-RU" w:bidi="ru-RU"/>
        </w:rPr>
        <w:t>Федеральной антимонопольной</w:t>
        <w:br/>
        <w:t>службы по Ханты-Мансийскому</w:t>
        <w:br/>
        <w:t>автономному округу - Югре</w:t>
        <w:br/>
      </w:r>
      <w:r>
        <w:rPr>
          <w:spacing w:val="0"/>
          <w:w w:val="100"/>
          <w:position w:val="0"/>
          <w:shd w:val="clear" w:color="auto" w:fill="auto"/>
          <w:lang w:val="ru-RU" w:eastAsia="ru-RU" w:bidi="ru-RU"/>
        </w:rPr>
        <w:t>ул. Мира, д. 27, Ханты-Мансийск, 628012</w:t>
        <w:br/>
        <w:t>телефон/факс +7 (3467) 38-80-81</w:t>
        <w:br/>
        <w:t>е-тай: 1о86@Га8.§оу.ги, сайт Нир://Ктао.1а8.ооу.ги</w:t>
        <w:br/>
        <w:t>ИНН 8601009316 КПП 860101001 ОГРН 1028600512093</w:t>
      </w:r>
    </w:p>
    <w:p>
      <w:pPr>
        <w:pStyle w:val="Style5"/>
        <w:keepNext w:val="0"/>
        <w:keepLines w:val="0"/>
        <w:widowControl w:val="0"/>
        <w:shd w:val="clear" w:color="auto" w:fill="auto"/>
        <w:tabs>
          <w:tab w:leader="underscore" w:pos="1762" w:val="left"/>
          <w:tab w:leader="underscore" w:pos="3931" w:val="left"/>
        </w:tabs>
        <w:bidi w:val="0"/>
        <w:spacing w:before="0" w:after="240"/>
        <w:ind w:left="0" w:right="0" w:firstLine="0"/>
        <w:jc w:val="left"/>
      </w:pPr>
      <w:r>
        <w:rPr>
          <w:spacing w:val="0"/>
          <w:w w:val="100"/>
          <w:position w:val="0"/>
          <w:shd w:val="clear" w:color="auto" w:fill="auto"/>
          <w:lang w:val="ru-RU" w:eastAsia="ru-RU" w:bidi="ru-RU"/>
        </w:rPr>
        <w:tab/>
        <w:t xml:space="preserve"> №</w:t>
        <w:tab/>
      </w:r>
    </w:p>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0"/>
        <w:keepNext/>
        <w:keepLines/>
        <w:widowControl w:val="0"/>
        <w:shd w:val="clear" w:color="auto" w:fill="auto"/>
        <w:bidi w:val="0"/>
        <w:spacing w:before="0" w:after="0" w:line="240" w:lineRule="auto"/>
        <w:ind w:left="0" w:right="0" w:firstLine="0"/>
        <w:jc w:val="left"/>
      </w:pPr>
      <w:bookmarkStart w:id="0" w:name="bookmark0"/>
      <w:r>
        <w:rPr>
          <w:color w:val="000000"/>
          <w:spacing w:val="0"/>
          <w:w w:val="100"/>
          <w:position w:val="0"/>
          <w:sz w:val="24"/>
          <w:szCs w:val="24"/>
          <w:shd w:val="clear" w:color="auto" w:fill="auto"/>
          <w:lang w:val="ru-RU" w:eastAsia="ru-RU" w:bidi="ru-RU"/>
        </w:rPr>
        <w:t>Оператор электронной площадки:</w:t>
      </w:r>
      <w:bookmarkEnd w:id="0"/>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 - АСТ"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119435, г. Москва, Большой Саввинский переулок, д.12, стр.9</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тел.: (495) 7872999/97 доб. 369, Факс: (495) 7872998</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"mailto:ko@sberbank-ast.ru"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ко@8ЬегЬапк-а81.ш</w:t>
      </w:r>
      <w:r>
        <w:fldChar w:fldCharType="end"/>
      </w:r>
    </w:p>
    <w:p>
      <w:pPr>
        <w:pStyle w:val="Style10"/>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Заявитель:</w:t>
      </w:r>
      <w:bookmarkEnd w:id="2"/>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«БРОКЕР ГРУПП»</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614042, г Пермь, ул Пензенская, д 57, кв 2</w:t>
      </w:r>
    </w:p>
    <w:p>
      <w:pPr>
        <w:pStyle w:val="Style10"/>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Заказчик:</w:t>
      </w:r>
      <w:bookmarkEnd w:id="4"/>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Казенное учреждение Ханты-Мансийского автономного округа - Югры «Агентство социального благополучия населения» 628001, город Ханты-Мансийск, ул.</w:t>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94" w:right="1021" w:bottom="1313" w:left="1140" w:header="0" w:footer="3" w:gutter="0"/>
          <w:pgNumType w:start="1"/>
          <w:cols w:num="2" w:space="792"/>
          <w:noEndnote/>
          <w:titlePg/>
          <w:rtlGutter w:val="0"/>
          <w:docGrid w:linePitch="360"/>
        </w:sectPr>
      </w:pPr>
      <w:r>
        <w:rPr>
          <w:color w:val="000000"/>
          <w:spacing w:val="0"/>
          <w:w w:val="100"/>
          <w:position w:val="0"/>
          <w:sz w:val="24"/>
          <w:szCs w:val="24"/>
          <w:shd w:val="clear" w:color="auto" w:fill="auto"/>
          <w:lang w:val="ru-RU" w:eastAsia="ru-RU" w:bidi="ru-RU"/>
        </w:rPr>
        <w:t>Барабинская, дом 18</w:t>
      </w:r>
    </w:p>
    <w:p>
      <w:pPr>
        <w:widowControl w:val="0"/>
        <w:spacing w:line="240" w:lineRule="exact"/>
        <w:rPr>
          <w:sz w:val="19"/>
          <w:szCs w:val="19"/>
        </w:rPr>
      </w:pPr>
    </w:p>
    <w:p>
      <w:pPr>
        <w:widowControl w:val="0"/>
        <w:spacing w:line="240" w:lineRule="exact"/>
        <w:rPr>
          <w:sz w:val="19"/>
          <w:szCs w:val="19"/>
        </w:rPr>
      </w:pPr>
    </w:p>
    <w:p>
      <w:pPr>
        <w:widowControl w:val="0"/>
        <w:spacing w:before="10" w:after="1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82" w:right="0" w:bottom="1224" w:left="0" w:header="0" w:footer="3" w:gutter="0"/>
          <w:cols w:space="720"/>
          <w:noEndnote/>
          <w:rtlGutter w:val="0"/>
          <w:docGrid w:linePitch="360"/>
        </w:sectPr>
      </w:pPr>
    </w:p>
    <w:p>
      <w:pPr>
        <w:pStyle w:val="Style10"/>
        <w:keepNext/>
        <w:keepLines/>
        <w:widowControl w:val="0"/>
        <w:shd w:val="clear" w:color="auto" w:fill="auto"/>
        <w:bidi w:val="0"/>
        <w:spacing w:before="0" w:after="240" w:line="240" w:lineRule="auto"/>
        <w:ind w:left="0" w:right="0" w:firstLine="0"/>
        <w:jc w:val="center"/>
      </w:pPr>
      <w:bookmarkStart w:id="6" w:name="bookmark6"/>
      <w:r>
        <w:rPr>
          <w:color w:val="000000"/>
          <w:spacing w:val="0"/>
          <w:w w:val="100"/>
          <w:position w:val="0"/>
          <w:sz w:val="24"/>
          <w:szCs w:val="24"/>
          <w:shd w:val="clear" w:color="auto" w:fill="auto"/>
          <w:lang w:val="ru-RU" w:eastAsia="ru-RU" w:bidi="ru-RU"/>
        </w:rPr>
        <w:t>РЕШЕНИЕ № 086/06/31-1545/2024</w:t>
      </w:r>
      <w:bookmarkEnd w:id="6"/>
    </w:p>
    <w:p>
      <w:pPr>
        <w:pStyle w:val="Style12"/>
        <w:keepNext w:val="0"/>
        <w:keepLines w:val="0"/>
        <w:widowControl w:val="0"/>
        <w:shd w:val="clear" w:color="auto" w:fill="auto"/>
        <w:tabs>
          <w:tab w:pos="7810"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Резолютивная часть объявлена 27.09.2024</w:t>
        <w:tab/>
        <w:t>г. Ханты-Мансийск</w:t>
      </w: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Изготовлено в полном объеме 02.10.2024</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Валиуллин Р.Р. - Заместитель руководителя Управления;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Членов комиссии:</w:t>
      </w:r>
    </w:p>
    <w:p>
      <w:pPr>
        <w:pStyle w:val="Style12"/>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Иванчикова Е.А. - Начальник отдела контроля закупок;</w:t>
      </w:r>
    </w:p>
    <w:p>
      <w:pPr>
        <w:pStyle w:val="Style12"/>
        <w:keepNext w:val="0"/>
        <w:keepLines w:val="0"/>
        <w:widowControl w:val="0"/>
        <w:numPr>
          <w:ilvl w:val="0"/>
          <w:numId w:val="1"/>
        </w:numPr>
        <w:shd w:val="clear" w:color="auto" w:fill="auto"/>
        <w:tabs>
          <w:tab w:pos="982"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Ядыкова М.Р. - Специалист - эксперт отдела контроля закупок,</w:t>
      </w:r>
    </w:p>
    <w:p>
      <w:pPr>
        <w:pStyle w:val="Style12"/>
        <w:keepNext w:val="0"/>
        <w:keepLines w:val="0"/>
        <w:widowControl w:val="0"/>
        <w:numPr>
          <w:ilvl w:val="0"/>
          <w:numId w:val="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 Заявителя - отсутствовали, уведомлены надлежащим образом;</w:t>
      </w:r>
    </w:p>
    <w:p>
      <w:pPr>
        <w:pStyle w:val="Style12"/>
        <w:keepNext w:val="0"/>
        <w:keepLines w:val="0"/>
        <w:widowControl w:val="0"/>
        <w:numPr>
          <w:ilvl w:val="0"/>
          <w:numId w:val="1"/>
        </w:numPr>
        <w:shd w:val="clear" w:color="auto" w:fill="auto"/>
        <w:tabs>
          <w:tab w:pos="1021"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 Заказчика - отсутствовали, уведомлены надлежащим образом;</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жалобу ООО «БРОКЕР ГРУПП» (ИНН: 5908077342; ОГРН: 1175958051004) от 24.09.2024 №9530/24, на действия Заказчика — Казенное учреждение Ханты- Мансийского автономного округа - Югры «Агентство социального благополучия населения» при размещении электронного аукциона, предметом которого является текущий ремонт 3-го этажа административного здания (г. Нижневартовск) (извещение № 0887200000324000193) и в результа</w:t>
        <w:softHyphen/>
        <w:t>те осуществления внеплановой проверки в соответствии с пунктом 1 части 15 статьи 99 Федераль</w:t>
        <w:softHyphen/>
        <w:t>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pPr>
      <w:r>
        <w:drawing>
          <wp:anchor distT="292100" distB="0" distL="0" distR="0" simplePos="0" relativeHeight="125829378" behindDoc="0" locked="0" layoutInCell="1" allowOverlap="1">
            <wp:simplePos x="0" y="0"/>
            <wp:positionH relativeFrom="page">
              <wp:posOffset>714375</wp:posOffset>
            </wp:positionH>
            <wp:positionV relativeFrom="paragraph">
              <wp:posOffset>292100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1517650" cy="292735"/>
                    </a:xfrm>
                    <a:prstGeom prst="rect"/>
                  </pic:spPr>
                </pic:pic>
              </a:graphicData>
            </a:graphic>
          </wp:anchor>
        </w:drawing>
      </w:r>
    </w:p>
    <w:p>
      <w:pPr>
        <w:pStyle w:val="Style10"/>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УСТАНОВИЛА:</w:t>
      </w:r>
      <w:bookmarkEnd w:id="8"/>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ООО «БРОКЕР ГРУПП» (ИНН: 5908077342; ОГРН: 1175958051004) от 24.09.2024 №9530/24, на действия Заказчика — Казенное учреждение Ханты-Мансийского автономного округа - Югры «Агентство социального благополучия населения» при проведении электронного аукциона, предметом которого является текущий ремонт 3-го этажа административного здания (г. Нижневартовск) (извещение № 0887200000324000193).</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доводах жалобы Заявитель указал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1. Заказчиком не установлены дополнительные требования в соответствии с позицией 15 Постановления Правительства РФ от 29.12.2021 ^ 2571.</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2. Заказчиком в Извещении о проведении закупки установлен срок окончания исполнения контракта - 60 календарных дней. При этом в проекте контракта в пункте 3.3 содержится срок окончания выполнения работ: в течение 60 календарных дней с момента заключения государственного Контракта.</w:t>
      </w:r>
    </w:p>
    <w:p>
      <w:pPr>
        <w:pStyle w:val="Style10"/>
        <w:keepNext/>
        <w:keepLines/>
        <w:widowControl w:val="0"/>
        <w:shd w:val="clear" w:color="auto" w:fill="auto"/>
        <w:bidi w:val="0"/>
        <w:spacing w:before="0" w:after="0" w:line="240" w:lineRule="auto"/>
        <w:ind w:left="0" w:right="0" w:firstLine="740"/>
        <w:jc w:val="both"/>
      </w:pPr>
      <w:bookmarkStart w:id="10" w:name="bookmark10"/>
      <w:r>
        <w:rPr>
          <w:color w:val="000000"/>
          <w:spacing w:val="0"/>
          <w:w w:val="100"/>
          <w:position w:val="0"/>
          <w:sz w:val="24"/>
          <w:szCs w:val="24"/>
          <w:shd w:val="clear" w:color="auto" w:fill="auto"/>
          <w:lang w:val="ru-RU" w:eastAsia="ru-RU" w:bidi="ru-RU"/>
        </w:rPr>
        <w:t>В ходе рассмотрения доводов сторон, материалов дела, Комиссией Управления установлено следующее.</w:t>
      </w:r>
      <w:bookmarkEnd w:id="10"/>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Относительно первого довода жалобы Комиссия Управления поясняет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2"/>
        <w:keepNext w:val="0"/>
        <w:keepLines w:val="0"/>
        <w:widowControl w:val="0"/>
        <w:numPr>
          <w:ilvl w:val="0"/>
          <w:numId w:val="3"/>
        </w:numPr>
        <w:shd w:val="clear" w:color="auto" w:fill="auto"/>
        <w:tabs>
          <w:tab w:pos="105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финансовых ресурсов для исполнения контракта;</w:t>
      </w:r>
    </w:p>
    <w:p>
      <w:pPr>
        <w:pStyle w:val="Style12"/>
        <w:keepNext w:val="0"/>
        <w:keepLines w:val="0"/>
        <w:widowControl w:val="0"/>
        <w:numPr>
          <w:ilvl w:val="0"/>
          <w:numId w:val="3"/>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2"/>
        <w:keepNext w:val="0"/>
        <w:keepLines w:val="0"/>
        <w:widowControl w:val="0"/>
        <w:numPr>
          <w:ilvl w:val="0"/>
          <w:numId w:val="3"/>
        </w:numPr>
        <w:shd w:val="clear" w:color="auto" w:fill="auto"/>
        <w:tabs>
          <w:tab w:pos="107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опыта работы, связанного с предметом контракта, и деловой репутации;</w:t>
      </w:r>
    </w:p>
    <w:p>
      <w:pPr>
        <w:pStyle w:val="Style12"/>
        <w:keepNext w:val="0"/>
        <w:keepLines w:val="0"/>
        <w:widowControl w:val="0"/>
        <w:numPr>
          <w:ilvl w:val="0"/>
          <w:numId w:val="3"/>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Позицией 15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w:t>
      </w:r>
      <w:r>
        <w:rPr>
          <w:color w:val="000000"/>
          <w:spacing w:val="0"/>
          <w:w w:val="100"/>
          <w:position w:val="0"/>
          <w:sz w:val="24"/>
          <w:szCs w:val="24"/>
          <w:shd w:val="clear" w:color="auto" w:fill="auto"/>
          <w:lang w:val="ru-RU" w:eastAsia="ru-RU" w:bidi="ru-RU"/>
        </w:rPr>
        <w:t>утратившими силу некоторых актов и отдельных положений актов Правительства Российской Федерации" установлено, что в случае осуществления Работы по текущему ремонту зданий, сооружений, Заказчик устанавливает следующие дополнительные требования: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опыт исполнения договора, предусматривающего выполнение работ по текущему ремонту зданий, сооружений;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опыт исполнения договора, предусматривающего выполнение работ по капитальному ремонту объекта капитального строительства.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 Постановления Правительства РФ от 29.12.2021 ^ 2571 установлено, что позиции 14, 15 и 36 приложения применяются в случае, если при осуществлении закупки начальная (максимальная) цена контракта превышает 1 млн. рублей.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0887200000324000193 объектом закупки является: Текущий ремонт 3-го этажа административного здания (г. Нижневартовск).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закупки 9 932 342,00 руб.</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0887200000324000193 Заказчиком установлены следующие требования к участникам: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Требования к участникам закупок в соответствии с ч. 1.1 ст. 31 Закона № 44-ФЗ;</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Единые требования к участникам закупок в соответствии с ч. 1 ст. 31 Закона № 44-ФЗ.</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в извещение не установлены дополнительные требования со</w:t>
        <w:softHyphen/>
        <w:t>гласно пункту 15 Постановлению Правительства РФ от 29.12.2021 № 2571.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4 статьи 106 Закона о контрактной системе лица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жалобы Заявитель указывает, что согласно объекту закупки на выполнение работ по текущему ремонту здания, Заказчик должен был установить дополнительные требования к участникам закупки в соответствии с позицией 15 «Работы по текущему ремонту зданий, сооружений» Приложения к постановлению №2571.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Комиссия Управления отмечает, что такие услуги как текущий ремонт здания - это одна из мер, которые должны приниматься в целях обеспечения надлежащего технического состояния здания, то есть поддержания параметров его устойчивости и надежности, исправности строительных конструкций, систем и сетей инженерно-технического обеспечения и их элементов в соответствии с требованиями технических регламентов, проектной и исполнительной документации (ч. 8 ст. 55.24 ГрК РФ).</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 текущему ремонту, как правило, относится устранение мелких неисправностей, которые выявляются при повседневной эксплуатации здания, работы по систематическому и своевременному предохранению здания от преждевременного износа. При этом оно практически не выбывает из эксплуатации, а его технические характеристики не меняются (Письмо Минстроя России от 27.02.2018 ^ 7026-АС/08).</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определенных случаях при проведении текущего ремонта может осуществляться замена и (или) восстановление отдельных элементов строительных конструкций здания (за исключением элементов несущих строительных конструкций), элементов систем инженерно-технического обеспечения и сетей инженерно-технического обеспечения этого здания (ч. 8.1 ст. 55.24 ГрК РФ).</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Перечень основных работ по текущему ремонту зданий и объектов, содержится в Приложении 7 к Положению, утвержденному Приказом Госкомархитектуры от 23.11.1988 ^ 312.</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Однако в соответствии с описанием объекта закупки и обоснованием НМЦК в составе НМЦК содержится выполнение работ по текущему ремонту здания.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объект закупки содержит виды работ, требующие установления дополнительных требований в соответствии с позицией 15 Постановления Правительства РФ от 29.12.2021 ^ 2571.</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допущено нарушение норм пункта 12 части 1 статьи 42 Закона о контрактной системе, за нарушение которых предусмотрена административная ответственность в соответствии с частью 1.4 статьи 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обоснованным,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второго довода жалобы Комиссия Управления поясняет следующее.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12"/>
        <w:keepNext w:val="0"/>
        <w:keepLines w:val="0"/>
        <w:widowControl w:val="0"/>
        <w:numPr>
          <w:ilvl w:val="0"/>
          <w:numId w:val="5"/>
        </w:numPr>
        <w:shd w:val="clear" w:color="auto" w:fill="auto"/>
        <w:tabs>
          <w:tab w:pos="104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12"/>
        <w:keepNext w:val="0"/>
        <w:keepLines w:val="0"/>
        <w:widowControl w:val="0"/>
        <w:numPr>
          <w:ilvl w:val="0"/>
          <w:numId w:val="5"/>
        </w:numPr>
        <w:shd w:val="clear" w:color="auto" w:fill="auto"/>
        <w:tabs>
          <w:tab w:pos="104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12"/>
        <w:keepNext w:val="0"/>
        <w:keepLines w:val="0"/>
        <w:widowControl w:val="0"/>
        <w:numPr>
          <w:ilvl w:val="0"/>
          <w:numId w:val="5"/>
        </w:numPr>
        <w:shd w:val="clear" w:color="auto" w:fill="auto"/>
        <w:tabs>
          <w:tab w:pos="104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8 части 1 статьи 42 Закона о контрактной системе, при осуществлении закупки путем проведения открытых конкурентных способов заказчик формирует и размещает в единой информационной системе извещение об осуществлении закупки, содержащее в том числе информацию о сроке исполнения контракта (отдельных этапов исполнения контракта, если проектом контракта предусмотрены такие этапы).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1 статьи 2 Закона о контрактной системе установлено,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в том числе на положениях Гражданского кодекса Российской Федерации (далее - ГК РФ).</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со статьей 190 ГК РФ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Срок может определяться также указанием на событие, которое должно неизбежно наступить.</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 при формировании извещения об осуществлении закупки имеет возможность определить срок исполнения контракта с учетом предполагаемых сроков осуществления приемки и оформления ее результатов, а также оплаты.</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0887200000324000193 в единой информационной системе в сфере закупок (далее - ЕИС), установлен срок исполнения контракта 60 календарных дней.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пунктом 2.3.2. проекта контракта, оплата по настоящему Контракту производится в рублях, за фактически выполненные Подрядчиком работы, путем перечисления Заказчиком денежных средств на счет Подрядчика в течение 7 (семи) рабочих дней со дня подписания Заказчиком структурированного документа о приемке.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3.3. проекта контракта, работы по контракту должны быть проведены в течение 60 календарных дней с момента заключения государственного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пункта 6.5.4. проекта контракта, в течении двадцати рабочих дней, следующих за днем поступления документа о приемке в соответствии с пунктом 6.5.3 настоящего Контракта, Заказчик (за исключением случая создания приемочной комиссии в соответствии с пунктом 6.5.5 настоящего Контракта) осуществляет одно из следующих действий:</w:t>
      </w:r>
    </w:p>
    <w:p>
      <w:pPr>
        <w:pStyle w:val="Style12"/>
        <w:keepNext w:val="0"/>
        <w:keepLines w:val="0"/>
        <w:widowControl w:val="0"/>
        <w:numPr>
          <w:ilvl w:val="0"/>
          <w:numId w:val="7"/>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но не ранее получения от Подрядчика документа, подтверждающего предоставление обеспечения гарантийных обязательств по Контракту;</w:t>
      </w:r>
    </w:p>
    <w:p>
      <w:pPr>
        <w:pStyle w:val="Style12"/>
        <w:keepNext w:val="0"/>
        <w:keepLines w:val="0"/>
        <w:widowControl w:val="0"/>
        <w:numPr>
          <w:ilvl w:val="0"/>
          <w:numId w:val="7"/>
        </w:numPr>
        <w:shd w:val="clear" w:color="auto" w:fill="auto"/>
        <w:tabs>
          <w:tab w:pos="95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12.1. проекта контракта, контракт вступает в силу с даты его подписания Сторонами и действует по 31 декабря 2024 года. С 01 января 2025 года обязательства Сторон по Контракту прекращаются, за исключением обязательств по оплате, гарантийных обязательств, обязательств по возмещению убытков и выплате неустойки.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пункта 3 части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 имеются противотечения срока исполнения контракта между извещением в единой информационной системе и информации в проекте контракта содержащийся в документах и размещенном в единой информационной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допущено нарушение норм части 3 статьи 7 Закона о контрактной системе, за нарушение которых предусмотрена административная ответственность в соответствии с частью 1.4 статьи 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довод Заявителя является обоснованным.</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22 статьи 99 Закона о контрактной системе, при выявле</w:t>
        <w:softHyphen/>
        <w:t>нии в результате проведения контрольным органом в сфере закупок плановых и внеплановых про</w:t>
        <w:softHyphen/>
        <w:t>верок, а также в результате рассмотрения жалобы на действия (бездействие) заказчика, уполномо</w:t>
        <w:softHyphen/>
        <w:t>ченного органа, уполномоченного учреждения, специализированной организации, оператора элек</w:t>
        <w:softHyphen/>
        <w:t>тронной площадки или комиссии по осуществлению закупок нарушений законодательства Россий</w:t>
        <w:softHyphen/>
        <w:t>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Таким образом, Комиссия Управления решила выдать обязательное для исполнения предпи</w:t>
        <w:softHyphen/>
        <w:t>сание.</w:t>
      </w:r>
    </w:p>
    <w:p>
      <w:pPr>
        <w:pStyle w:val="Style12"/>
        <w:keepNext w:val="0"/>
        <w:keepLines w:val="0"/>
        <w:widowControl w:val="0"/>
        <w:shd w:val="clear" w:color="auto" w:fill="auto"/>
        <w:tabs>
          <w:tab w:pos="76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Жалоба ООО «БРОКЕР ГРУПП» (ИНН:</w:t>
        <w:tab/>
        <w:t>5908077342; ОГРН:</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1175958051004) от 24.09.2024 №9530/24, рассмотрена Комиссией Управления в соответствии с требованиями Закона о контрактной системе.</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статей 99, 106 Закона о контрактной системе, Комиссия Управления,</w:t>
      </w:r>
    </w:p>
    <w:p>
      <w:pPr>
        <w:pStyle w:val="Style10"/>
        <w:keepNext/>
        <w:keepLines/>
        <w:widowControl w:val="0"/>
        <w:shd w:val="clear" w:color="auto" w:fill="auto"/>
        <w:bidi w:val="0"/>
        <w:spacing w:before="0" w:after="24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РЕШИЛА:</w:t>
      </w:r>
      <w:bookmarkEnd w:id="12"/>
    </w:p>
    <w:p>
      <w:pPr>
        <w:pStyle w:val="Style12"/>
        <w:keepNext w:val="0"/>
        <w:keepLines w:val="0"/>
        <w:widowControl w:val="0"/>
        <w:numPr>
          <w:ilvl w:val="0"/>
          <w:numId w:val="9"/>
        </w:numPr>
        <w:shd w:val="clear" w:color="auto" w:fill="auto"/>
        <w:tabs>
          <w:tab w:pos="1150" w:val="left"/>
          <w:tab w:pos="784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«БРОКЕР ГРУПП» (ИНН: 5908077342; ОГРН: 1175958051004) от 24.09.2024 №9530/24, на действия Заказчика — Казенное учреждение Ханты- Мансийского автономного округа - Югры «Агентство социального благополучия населения» при проведении электронного аукциона, предметом которого является текущий ремонт 3-го этажа административного здания (г. Нижневартовск) (извещение №</w:t>
        <w:tab/>
        <w:t>0887200000324000193)</w:t>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обоснованной:</w:t>
      </w:r>
    </w:p>
    <w:p>
      <w:pPr>
        <w:pStyle w:val="Style12"/>
        <w:keepNext w:val="0"/>
        <w:keepLines w:val="0"/>
        <w:widowControl w:val="0"/>
        <w:numPr>
          <w:ilvl w:val="1"/>
          <w:numId w:val="9"/>
        </w:numPr>
        <w:shd w:val="clear" w:color="auto" w:fill="auto"/>
        <w:tabs>
          <w:tab w:pos="12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Первый довод обоснованный,</w:t>
      </w:r>
    </w:p>
    <w:p>
      <w:pPr>
        <w:pStyle w:val="Style12"/>
        <w:keepNext w:val="0"/>
        <w:keepLines w:val="0"/>
        <w:widowControl w:val="0"/>
        <w:numPr>
          <w:ilvl w:val="1"/>
          <w:numId w:val="9"/>
        </w:numPr>
        <w:shd w:val="clear" w:color="auto" w:fill="auto"/>
        <w:tabs>
          <w:tab w:pos="1214"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Второй довод обоснованный.</w:t>
      </w:r>
      <w:r>
        <w:br w:type="page"/>
      </w:r>
    </w:p>
    <w:p>
      <w:pPr>
        <w:pStyle w:val="Style12"/>
        <w:keepNext w:val="0"/>
        <w:keepLines w:val="0"/>
        <w:widowControl w:val="0"/>
        <w:numPr>
          <w:ilvl w:val="0"/>
          <w:numId w:val="9"/>
        </w:numPr>
        <w:shd w:val="clear" w:color="auto" w:fill="auto"/>
        <w:tabs>
          <w:tab w:pos="12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в действиях Заказчика — Казенное учреждение Ханты-Мансийского автономного округа - Югры «Агентство социального благополучия населения» нарушение положений части 3 статьи 7, пункта 12 части 1 статьи 42 Федерального закона от 05.04.2013 ^ 44- ФЗ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numPr>
          <w:ilvl w:val="0"/>
          <w:numId w:val="9"/>
        </w:numPr>
        <w:shd w:val="clear" w:color="auto" w:fill="auto"/>
        <w:tabs>
          <w:tab w:pos="195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w:t>
      </w:r>
    </w:p>
    <w:p>
      <w:pPr>
        <w:pStyle w:val="Style12"/>
        <w:keepNext w:val="0"/>
        <w:keepLines w:val="0"/>
        <w:widowControl w:val="0"/>
        <w:numPr>
          <w:ilvl w:val="0"/>
          <w:numId w:val="9"/>
        </w:numPr>
        <w:shd w:val="clear" w:color="auto" w:fill="auto"/>
        <w:tabs>
          <w:tab w:pos="12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Передать уполномоченному должностному лицу Ханты-Мансийского УФАС России материалы дела для рассмотрения вопроса о привлечении должностных лиц, допустивших нарушение требований Закона о контрактной системе, к административной ответственности.</w:t>
      </w:r>
    </w:p>
    <w:p>
      <w:pPr>
        <w:pStyle w:val="Style12"/>
        <w:keepNext w:val="0"/>
        <w:keepLines w:val="0"/>
        <w:widowControl w:val="0"/>
        <w:numPr>
          <w:ilvl w:val="0"/>
          <w:numId w:val="9"/>
        </w:numPr>
        <w:shd w:val="clear" w:color="auto" w:fill="auto"/>
        <w:tabs>
          <w:tab w:pos="1214" w:val="left"/>
        </w:tabs>
        <w:bidi w:val="0"/>
        <w:spacing w:before="0" w:after="800" w:line="240" w:lineRule="auto"/>
        <w:ind w:left="0" w:right="0" w:firstLine="740"/>
        <w:jc w:val="both"/>
      </w:pPr>
      <w:r>
        <w:rPr>
          <w:color w:val="000000"/>
          <w:spacing w:val="0"/>
          <w:w w:val="100"/>
          <w:position w:val="0"/>
          <w:sz w:val="24"/>
          <w:szCs w:val="24"/>
          <w:shd w:val="clear" w:color="auto" w:fill="auto"/>
          <w:lang w:val="ru-RU" w:eastAsia="ru-RU" w:bidi="ru-RU"/>
        </w:rPr>
        <w:t>Направить данное решение сторонам и опубликовать на официальном сайте единой информационной системы в сфере закупок (\\л\л\'.хакирк1.до\'.1Т1).</w:t>
      </w:r>
    </w:p>
    <w:p>
      <w:pPr>
        <w:pStyle w:val="Style12"/>
        <w:keepNext w:val="0"/>
        <w:keepLines w:val="0"/>
        <w:widowControl w:val="0"/>
        <w:shd w:val="clear" w:color="auto" w:fill="auto"/>
        <w:bidi w:val="0"/>
        <w:spacing w:before="0" w:after="800" w:line="240" w:lineRule="auto"/>
        <w:ind w:left="0" w:right="0" w:firstLine="0"/>
        <w:jc w:val="left"/>
      </w:pPr>
      <w:r>
        <mc:AlternateContent>
          <mc:Choice Requires="wps">
            <w:drawing>
              <wp:anchor distT="0" distB="701040" distL="114300" distR="254635" simplePos="0" relativeHeight="125829379" behindDoc="0" locked="0" layoutInCell="1" allowOverlap="1">
                <wp:simplePos x="0" y="0"/>
                <wp:positionH relativeFrom="page">
                  <wp:posOffset>6066790</wp:posOffset>
                </wp:positionH>
                <wp:positionV relativeFrom="paragraph">
                  <wp:posOffset>12700</wp:posOffset>
                </wp:positionV>
                <wp:extent cx="990600" cy="216535"/>
                <wp:wrapSquare wrapText="left"/>
                <wp:docPr id="9" name="Shape 9"/>
                <a:graphic xmlns:a="http://schemas.openxmlformats.org/drawingml/2006/main">
                  <a:graphicData uri="http://schemas.microsoft.com/office/word/2010/wordprocessingShape">
                    <wps:wsp>
                      <wps:cNvSpPr txBox="1"/>
                      <wps:spPr>
                        <a:xfrm>
                          <a:ext cx="99060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wps:txbx>
                      <wps:bodyPr wrap="none" lIns="0" tIns="0" rIns="0" bIns="0">
                        <a:noAutoFit/>
                      </wps:bodyPr>
                    </wps:wsp>
                  </a:graphicData>
                </a:graphic>
              </wp:anchor>
            </w:drawing>
          </mc:Choice>
          <mc:Fallback>
            <w:pict>
              <v:shape id="_x0000_s1035" type="#_x0000_t202" style="position:absolute;margin-left:477.69999999999999pt;margin-top:1.pt;width:78.pt;height:17.050000000000001pt;z-index:-125829374;mso-wrap-distance-left:9.pt;mso-wrap-distance-right:20.050000000000001pt;mso-wrap-distance-bottom:55.200000000000003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Р.Р. Валиуллин</w:t>
                      </w:r>
                    </w:p>
                  </w:txbxContent>
                </v:textbox>
                <w10:wrap type="square" side="left" anchorx="page"/>
              </v:shape>
            </w:pict>
          </mc:Fallback>
        </mc:AlternateContent>
      </w:r>
      <w:r>
        <mc:AlternateContent>
          <mc:Choice Requires="wps">
            <w:drawing>
              <wp:anchor distT="701040" distB="0" distL="123190" distR="114935" simplePos="0" relativeHeight="125829381" behindDoc="0" locked="0" layoutInCell="1" allowOverlap="1">
                <wp:simplePos x="0" y="0"/>
                <wp:positionH relativeFrom="page">
                  <wp:posOffset>6075680</wp:posOffset>
                </wp:positionH>
                <wp:positionV relativeFrom="paragraph">
                  <wp:posOffset>713740</wp:posOffset>
                </wp:positionV>
                <wp:extent cx="1121410" cy="216535"/>
                <wp:wrapSquare wrapText="left"/>
                <wp:docPr id="11" name="Shape 11"/>
                <a:graphic xmlns:a="http://schemas.openxmlformats.org/drawingml/2006/main">
                  <a:graphicData uri="http://schemas.microsoft.com/office/word/2010/wordprocessingShape">
                    <wps:wsp>
                      <wps:cNvSpPr txBox="1"/>
                      <wps:spPr>
                        <a:xfrm>
                          <a:ext cx="112141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Иванчикова</w:t>
                            </w:r>
                          </w:p>
                        </w:txbxContent>
                      </wps:txbx>
                      <wps:bodyPr wrap="none" lIns="0" tIns="0" rIns="0" bIns="0">
                        <a:noAutoFit/>
                      </wps:bodyPr>
                    </wps:wsp>
                  </a:graphicData>
                </a:graphic>
              </wp:anchor>
            </w:drawing>
          </mc:Choice>
          <mc:Fallback>
            <w:pict>
              <v:shape id="_x0000_s1037" type="#_x0000_t202" style="position:absolute;margin-left:478.40000000000003pt;margin-top:56.200000000000003pt;width:88.299999999999997pt;height:17.050000000000001pt;z-index:-125829372;mso-wrap-distance-left:9.7000000000000011pt;mso-wrap-distance-top:55.200000000000003pt;mso-wrap-distance-right:9.0500000000000007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Е.А. Иванчикова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80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720" w:line="240" w:lineRule="auto"/>
        <w:ind w:left="0" w:right="380" w:firstLine="0"/>
        <w:jc w:val="right"/>
      </w:pPr>
      <w:r>
        <w:rPr>
          <w:color w:val="000000"/>
          <w:spacing w:val="0"/>
          <w:w w:val="100"/>
          <w:position w:val="0"/>
          <w:sz w:val="24"/>
          <w:szCs w:val="24"/>
          <w:shd w:val="clear" w:color="auto" w:fill="auto"/>
          <w:lang w:val="ru-RU" w:eastAsia="ru-RU" w:bidi="ru-RU"/>
        </w:rPr>
        <w:t>М.Р. Ядыкова</w:t>
      </w:r>
    </w:p>
    <w:p>
      <w:pPr>
        <w:pStyle w:val="Style5"/>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sectPr>
      <w:footnotePr>
        <w:pos w:val="pageBottom"/>
        <w:numFmt w:val="decimal"/>
        <w:numRestart w:val="continuous"/>
      </w:footnotePr>
      <w:type w:val="continuous"/>
      <w:pgSz w:w="11900" w:h="16840"/>
      <w:pgMar w:top="582" w:right="534" w:bottom="1224" w:left="110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9979660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50000000000001pt;margin-top:785.80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2024-7170</w:t>
                          </w:r>
                        </w:p>
                      </w:txbxContent>
                    </wps:txbx>
                    <wps:bodyPr wrap="none" lIns="0" tIns="0" rIns="0" bIns="0">
                      <a:spAutoFit/>
                    </wps:bodyPr>
                  </wps:wsp>
                </a:graphicData>
              </a:graphic>
            </wp:anchor>
          </w:drawing>
        </mc:Choice>
        <mc:Fallback>
          <w:pict>
            <v:shape id="_x0000_s1031"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2024-7170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8"/>
      <w:sz w:val="16"/>
      <w:szCs w:val="16"/>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360A8"/>
      <w:sz w:val="16"/>
      <w:szCs w:val="16"/>
      <w:u w:val="none"/>
    </w:rPr>
  </w:style>
  <w:style w:type="character" w:customStyle="1" w:styleId="CharStyle11">
    <w:name w:val="Заголовок №1_"/>
    <w:basedOn w:val="DefaultParagraphFont"/>
    <w:link w:val="Style10"/>
    <w:rPr>
      <w:rFonts w:ascii="Times New Roman" w:eastAsia="Times New Roman" w:hAnsi="Times New Roman" w:cs="Times New Roman"/>
      <w:b/>
      <w:bCs/>
      <w:i w:val="0"/>
      <w:iCs w:val="0"/>
      <w:smallCaps w:val="0"/>
      <w:strike w:val="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180" w:line="302" w:lineRule="auto"/>
      <w:jc w:val="center"/>
    </w:pPr>
    <w:rPr>
      <w:rFonts w:ascii="Times New Roman" w:eastAsia="Times New Roman" w:hAnsi="Times New Roman" w:cs="Times New Roman"/>
      <w:b w:val="0"/>
      <w:bCs w:val="0"/>
      <w:i w:val="0"/>
      <w:iCs w:val="0"/>
      <w:smallCaps w:val="0"/>
      <w:strike w:val="0"/>
      <w:color w:val="4360A8"/>
      <w:sz w:val="16"/>
      <w:szCs w:val="16"/>
      <w:u w:val="none"/>
    </w:rPr>
  </w:style>
  <w:style w:type="paragraph" w:customStyle="1" w:styleId="Style8">
    <w:name w:val="Подпись к картинке"/>
    <w:basedOn w:val="Normal"/>
    <w:link w:val="CharStyle9"/>
    <w:pPr>
      <w:widowControl w:val="0"/>
      <w:shd w:val="clear" w:color="auto" w:fill="auto"/>
      <w:spacing w:line="302" w:lineRule="auto"/>
    </w:pPr>
    <w:rPr>
      <w:rFonts w:ascii="Times New Roman" w:eastAsia="Times New Roman" w:hAnsi="Times New Roman" w:cs="Times New Roman"/>
      <w:b w:val="0"/>
      <w:bCs w:val="0"/>
      <w:i w:val="0"/>
      <w:iCs w:val="0"/>
      <w:smallCaps w:val="0"/>
      <w:strike w:val="0"/>
      <w:color w:val="4360A8"/>
      <w:sz w:val="16"/>
      <w:szCs w:val="16"/>
      <w:u w:val="none"/>
    </w:rPr>
  </w:style>
  <w:style w:type="paragraph" w:customStyle="1" w:styleId="Style10">
    <w:name w:val="Заголовок №1"/>
    <w:basedOn w:val="Normal"/>
    <w:link w:val="CharStyle11"/>
    <w:pPr>
      <w:widowControl w:val="0"/>
      <w:shd w:val="clear" w:color="auto" w:fill="auto"/>
      <w:outlineLvl w:val="0"/>
    </w:pPr>
    <w:rPr>
      <w:rFonts w:ascii="Times New Roman" w:eastAsia="Times New Roman" w:hAnsi="Times New Roman" w:cs="Times New Roman"/>
      <w:b/>
      <w:bCs/>
      <w:i w:val="0"/>
      <w:iCs w:val="0"/>
      <w:smallCaps w:val="0"/>
      <w:strike w:val="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s>
</file>