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1781175</wp:posOffset>
            </wp:positionH>
            <wp:positionV relativeFrom="margin">
              <wp:posOffset>0</wp:posOffset>
            </wp:positionV>
            <wp:extent cx="542290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1216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5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625048, г. Тюмень, ул. Холодильная, 58а</w:t>
        <w:br/>
        <w:t>тел. (3452) 50-31-55, факс (3452) 50-59-14</w:t>
        <w:br/>
        <w:t>е-шаП: 1о72@1а8.§оу.ги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2.10.2024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ЮВ/6962/24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Пензенская д. 57, кв. 2, г. Пермь, 614042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Уватского муниципального района ул. Иртышская д. 19, с. Уват, Тюменская область, 626170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«Дирекция по управлению муниципальным хозяйством Уватского муниципального района»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98" w:bottom="1236" w:left="1101" w:header="0" w:footer="3" w:gutter="0"/>
          <w:cols w:num="2" w:space="720" w:equalWidth="0">
            <w:col w:w="4334" w:space="970"/>
            <w:col w:w="489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Иртышская д. 19, с. Уват, Тюменская область, 626170</w:t>
      </w:r>
    </w:p>
    <w:p>
      <w:pPr>
        <w:widowControl w:val="0"/>
        <w:spacing w:line="52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2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072/06/44/150/2024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6417310</wp:posOffset>
                </wp:positionH>
                <wp:positionV relativeFrom="paragraph">
                  <wp:posOffset>12700</wp:posOffset>
                </wp:positionV>
                <wp:extent cx="76835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Тюмень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5.30000000000001pt;margin-top:1.pt;width:60.5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Тюмень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 октября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- Комиссия, антимонопольный орган)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руководителя управления Верзун Ю.Д., 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Ведущий специалист-эксперт отдела контроля закупок Назаров И.Г.,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Специалист-эксперт отдела контроля закупок Романенко В.В.,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участием заказчика: директора МКУ «Дирекция по управлению муниципальным хозяйством Уватского муниципального района» (далее - заказчик), Амышева В.Н. действующего на основании распоряжения № 368-рк от 02.11.2023,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уполномоченного органа: Администрации Уватского муниципального района (далее - уполномоченный орган), извещенного надлежащим образом о дате и времени рассмотрения поступившей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заявителя: ООО «Брокер групп» (далее - заявитель, Общество) извещенного надлежащим образом о дате и времени рассмотрения поступившей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в дистанционном режиме посредством плагина видеоконференции Тгие СопГ в порядке, предусмотренном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системе, Закон № 44-ФЗ) жалобу ООО «Брокер групп» на действия заказчика МКУ «Дирекция по управлению муниципальным хозяйством Уватского муниципального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2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5"/>
        </w:rPr>
        <w:t>района» при проведении запроса котировок в электронной форме на капитальный ремонт водозабора в п. Першино Уватского района Тюменской области (реестровый номер закупки 0167300024524000138),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Тюменской области (далее - Тюменское УФАС России) поступила жалоба ООО «Брокер групп» на действия заказчика МКУ «Дирекция по управлению муниципальным хозяйством Уватского муниципального района» при проведении запроса котировок в электронной форме на капитальный ремонт водозабора в п. Першино Уватского района Тюменской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Указанная жалоба заявителя признана соответствующей требованиям, предусмотренным статьёй 105 Закона о контрактной системе, и принята к рассмотрению. Во исполнение требований части 8 статьи 105 Закона о контрактной системе информация о содержании поступившей жалобы, дате и времени её рассмотрения размещены в реестре жалоб на официальном сайте Единой информационной системы в сфере закупок (\\л\л\\/акир1&lt;1.до\\П1).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поступившей жалобе указывает следующие доводы: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Первый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Заказчиком не установлено дополнительное требование к участникам закупки в соответствии с позицией 10 раздела II приложения к Постановлению Правительства РФ от 29.12.2021 № 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Второй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Заказчиком в ЕИС в сфере закупок не размещена локальная смета, что делает невозможным для участников закупки рассчитать свои расходы.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Третий довод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Заказчик неправильно применил метод определения начальной (максимальной) цены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и уполномоченным органом возражения на жалобу заявителя представлены, просят признать жалобу заявителя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материалы дела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материалов дела следует, что Администрация Уватского муниципального района являясь заказчиком, выступила организатором проведения запроса котировок в электронной форме на капитальный ремонт водозабора в п. Першино Уватского района Тюменской области, с начальной (максимальной) ценой контракта 8 106 666,67 рублей, в интересах заказчика МКУ «Дирекция по управлению муниципальным хозяйством Уватского муниципального района».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об электронном аукционе была размещена 20.09.2024 на официальном сайте ЕИС в сфере закупок: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11Пр:///а1&lt;ир1&lt;1.до\лч1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 реестровым номером закупки 0167300024524000138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электронной площадки в информационно-телекоммуникационной сети «Интернет» определенной для проведения закупки ЪИрзУ/ефдрЪ.ги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статьи 3 Закона о контрактной системе предусмотрено, что закупка товара, работы, услуги для обеспечения государственных или муниципальных нужд (далее - закупка) - совокупность действий, осуществляемых в установленном настоящим Федеральным законом порядке заказчиком и направленных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12 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24 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первому доводу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заявителя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12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Закона о контрактной системе, требования, предъявляемые к участникам закупки в соответствии с частями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2.1 (при наличии таких требований)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31 Закона о контрактной системе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исчерпывающий перечень документов, подтверждающих соответствие участника закупки таким требованиям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статьи 31 Закона о контрактной системе предусмотрено, что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Правительство РФ вправе устанавливать к участникам закупок отдельных видов товаров, работ, услуг дополнительные требования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 том числе к наличию: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31 Закона о контрактной системе предусмотрен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документов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которые подтверждают соответствие участников закупок дополнительным требованиям, указанным в частях 2 и 2.1 настоящей статьи, устанавливается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Правительством РФ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4 статьи 31 Закона о контрактной системе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установления Правительством РФ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Дополнительные требования к участникам закупки предусмотрены Постановлением Правительства РФ от 29.12.2021 № 2571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РФ».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системному толкованию указанных положений законодательства о контрактной системе участник закупки должен соответствовать требованиям, установленным в соответствии с законодательством Российской Федерации к лицам, осуществляющим поставку товаров, выполнение работ, оказание услуг в соответствии со спецификой и содержанием объекта закупки, в том числе и дополнительным требованиям которые предъявляются к участникам закупки в соответствии с Постановлением Правительства РФ от 29.12.2021 № 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Позицией 10 раздела II приложения к Постановлению Правительства РФ от 29.12.2021 № 2571 предусмотрено, что при выполнении работ по капитальному ремонту объекта капитального строительства (за исключением линейного объекта) требуется наличие у участника закупки следующего опыта выполнения работ: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1 графы 3 настоящей позиции участник закупки представляет следующие информацию и документы: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2 графы «Дополнительные требования к участникам закупки» настоящей позиции: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«Дополнительные требования к участникам закупки» настоящей позиции: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«Смета на строительство объектов капитального строительства» проектной документации;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10 раздела II приложения к Постановлению Правительства РФ от 29.12.2021 № 2571 применяется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об осуществлении закупки, дополнительные требования к участникам в соответствии с позицией 10 раздела II приложения к Постановлению Правительства РФ от 29.12.2021 № 2571 не установлены.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заседание Комиссии Тюменского УФАС России не явился, а также не представил документов и информации подтверждающей указанный довод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жалобы заявителя Комиссия полагает признать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второму доводу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заявителя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33 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Тюменского УФАС России по результатам изучения содержания извещения об осуществлении закупки установлено, что в техническом задании указаны все необходимые для данного объекта закупки функциональные, технические, качественные и эксплуатационные характеристики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жалобы заявителя Комиссия полагает признать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третьему доводу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жалобы заявителя Комиссия отмечает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3 статьи 99 Закона о контрактной системе предусмотрено, что федеральный орган исполнительной власти, уполномоченный на осуществление контроля в сфере закупок, осуществляет контроль в сфере закупок, за исключением контроля, предусмотренного частями 5 и 8 и 10 настоящей статьи с учетом части 4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 части 8 статьи 99 Закона о контрактной системе предусмотрено, что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в том числе,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вышеизложенное, антимонопольные органы в соответствии со своими полномочиями не осуществляют контрольные мероприятия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жалобы заявителя Комиссия полагает необходимым оставить без рассмотрения, в связи с отсутствием полномочий по рассмотрению указанного довода жалобы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Комиссия Тюменского УФАС России полагает необходимым признать жалобу заявителя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пунктом 1 части 15 статьи 99, частью 8 статьи 106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«Брокер групп»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33" w:bottom="123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5900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87452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pt;margin-top:7.pt;width:147.59999999999999pt;height:19.699999999999999pt;z-index:-125829373;mso-wrap-distance-left:0;mso-wrap-distance-top:7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9430" simplePos="0" relativeHeight="125829382" behindDoc="0" locked="0" layoutInCell="1" allowOverlap="1">
            <wp:simplePos x="0" y="0"/>
            <wp:positionH relativeFrom="page">
              <wp:posOffset>2729865</wp:posOffset>
            </wp:positionH>
            <wp:positionV relativeFrom="paragraph">
              <wp:posOffset>158750</wp:posOffset>
            </wp:positionV>
            <wp:extent cx="353695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250190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7.84999999999999pt;margin-top:19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5900" distL="0" distR="0" simplePos="0" relativeHeight="125829383" behindDoc="0" locked="0" layoutInCell="1" allowOverlap="1">
                <wp:simplePos x="0" y="0"/>
                <wp:positionH relativeFrom="page">
                  <wp:posOffset>4951730</wp:posOffset>
                </wp:positionH>
                <wp:positionV relativeFrom="paragraph">
                  <wp:posOffset>88900</wp:posOffset>
                </wp:positionV>
                <wp:extent cx="10058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Ю.Д. Верзун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89.90000000000003pt;margin-top:7.pt;width:79.200000000000003pt;height:19.699999999999999pt;z-index:-125829370;mso-wrap-distance-left:0;mso-wrap-distance-top:7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Ю.Д. Верзун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84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1960" distB="1252855" distL="0" distR="0" simplePos="0" relativeHeight="125829385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441960</wp:posOffset>
                </wp:positionV>
                <wp:extent cx="134112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34.800000000000004pt;width:105.60000000000001pt;height:19.900000000000002pt;z-index:-125829368;mso-wrap-distance-left:0;mso-wrap-distance-top:34.800000000000004pt;mso-wrap-distance-right:0;mso-wrap-distance-bottom:98.650000000000006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524510" distL="0" distR="0" simplePos="0" relativeHeight="125829387" behindDoc="0" locked="0" layoutInCell="1" allowOverlap="1">
                <wp:simplePos x="0" y="0"/>
                <wp:positionH relativeFrom="page">
                  <wp:posOffset>2717800</wp:posOffset>
                </wp:positionH>
                <wp:positionV relativeFrom="paragraph">
                  <wp:posOffset>499745</wp:posOffset>
                </wp:positionV>
                <wp:extent cx="3221990" cy="9232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1990" cy="9232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504"/>
                              <w:gridCol w:w="1570"/>
                            </w:tblGrid>
                            <w:tr>
                              <w:trPr>
                                <w:tblHeader/>
                                <w:trHeight w:val="66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68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22222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Подлинник электронного документа, подписанного чКбЯвГ ЭП, хранится в системе электронного документооборота ФАС России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ru-RU" w:eastAsia="ru-RU" w:bidi="ru-RU"/>
                                    </w:rPr>
                                    <w:t>И.Г. Назаров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9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000000"/>
                                  <w:vAlign w:val="top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000000"/>
                                      <w:left w:val="single" w:sz="0" w:space="0" w:color="000000"/>
                                      <w:bottom w:val="single" w:sz="0" w:space="0" w:color="000000"/>
                                      <w:right w:val="single" w:sz="0" w:space="0" w:color="000000"/>
                                    </w:pBdr>
                                    <w:shd w:val="clear" w:color="auto" w:fill="000000"/>
                                    <w:tabs>
                                      <w:tab w:pos="754" w:val="left"/>
                                      <w:tab w:pos="343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color w:val="E8E8E8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СВЕДЕНИЯ О СЕРТИФИКАТЕ ЭП</w:t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638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Кому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A6A6A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выдан: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ru-RU" w:eastAsia="ru-RU" w:bidi="ru-RU"/>
                                    </w:rPr>
                                    <w:t>Назаров Игорь Геннадьевич</w:t>
                                  </w:r>
                                </w:p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3A3A3A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Сертификат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№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A3A3A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00ВВВ6АЕА26С7А5С08О93СС1Е66Е081641</w:t>
                                  </w:r>
                                </w:p>
                                <w:p>
                                  <w:pPr>
                                    <w:pStyle w:val="Style2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6A6A6A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Действителен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с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A6A6A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09.11.2023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 xml:space="preserve">по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6A6A6A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ru-RU" w:eastAsia="ru-RU" w:bidi="ru-RU"/>
                                    </w:rPr>
                                    <w:t>01.02.2025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/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14.pt;margin-top:39.350000000000001pt;width:253.70000000000002pt;height:72.700000000000003pt;z-index:-125829366;mso-wrap-distance-left:0;mso-wrap-distance-top:39.350000000000001pt;mso-wrap-distance-right:0;mso-wrap-distance-bottom:41.300000000000004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504"/>
                        <w:gridCol w:w="1570"/>
                      </w:tblGrid>
                      <w:tr>
                        <w:trPr>
                          <w:tblHeader/>
                          <w:trHeight w:val="66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222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чКбЯвГ ЭП, хранится в системе электронного документооборота ФАС России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Назаров</w:t>
                            </w:r>
                          </w:p>
                        </w:tc>
                      </w:tr>
                      <w:tr>
                        <w:trPr>
                          <w:trHeight w:val="149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000000"/>
                            <w:vAlign w:val="top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tabs>
                                <w:tab w:pos="754" w:val="left"/>
                                <w:tab w:pos="343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  <w:tab/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638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center"/>
                          </w:tcPr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Назаров Игорь Геннадьевич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00ВВВ6АЕА26С7А5С08О93СС1Е66Е081641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rFonts w:ascii="Arial" w:eastAsia="Arial" w:hAnsi="Arial" w:cs="Arial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09.11.2023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rFonts w:ascii="Arial" w:eastAsia="Arial" w:hAnsi="Arial" w:cs="Arial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01.02.2025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/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2745105</wp:posOffset>
                </wp:positionH>
                <wp:positionV relativeFrom="paragraph">
                  <wp:posOffset>0</wp:posOffset>
                </wp:positionV>
                <wp:extent cx="2094230" cy="29591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423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Верзун Юрий Дмитриевич</w:t>
                            </w:r>
                          </w:p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3A3A3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49СС80692629ЕВ5А5С76А6Е2177ЕО556</w:t>
                            </w:r>
                          </w:p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 16.07.2024 по 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6A6A6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09.10.2025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6.15000000000001pt;margin-top:0;width:164.90000000000001pt;height:23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6A6A6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Верзун Юрий Дмитриевич</w:t>
                      </w:r>
                    </w:p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3A3A3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3A3A3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49СС80692629ЕВ5А5С76А6Е2177ЕО556</w:t>
                      </w:r>
                    </w:p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6A6A6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 16.07.2024 по 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6A6A6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09.10.2025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1691640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7.84999999999999pt;margin-top:133.1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30350" distB="164465" distL="0" distR="0" simplePos="0" relativeHeight="125829389" behindDoc="0" locked="0" layoutInCell="1" allowOverlap="1">
                <wp:simplePos x="0" y="0"/>
                <wp:positionH relativeFrom="page">
                  <wp:posOffset>4949190</wp:posOffset>
                </wp:positionH>
                <wp:positionV relativeFrom="paragraph">
                  <wp:posOffset>1530350</wp:posOffset>
                </wp:positionV>
                <wp:extent cx="120713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В.В. Романенко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89.69999999999999pt;margin-top:120.5pt;width:95.049999999999997pt;height:19.900000000000002pt;z-index:-125829364;mso-wrap-distance-left:0;mso-wrap-distance-top:120.5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В.В. Романенко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Романенко Вадим Владимирович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00ЕЭЕ71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ВВЕ2А7СВОС571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00Е0О8В2Е425Е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09.11.2023 по 01.02.2025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2024-7762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70000000000005pt;width:51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2024-7762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2024-7762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2024-7762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 (6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Подпись к таблице_"/>
    <w:basedOn w:val="DefaultParagraphFont"/>
    <w:link w:val="Style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8E8E8"/>
      <w:sz w:val="11"/>
      <w:szCs w:val="11"/>
      <w:u w:val="none"/>
    </w:rPr>
  </w:style>
  <w:style w:type="character" w:customStyle="1" w:styleId="CharStyle40">
    <w:name w:val="Основной текст (3)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12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A"/>
      <w:sz w:val="17"/>
      <w:szCs w:val="17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22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A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 (6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5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8E8E8"/>
      <w:sz w:val="11"/>
      <w:szCs w:val="11"/>
      <w:u w:val="none"/>
    </w:rPr>
  </w:style>
  <w:style w:type="paragraph" w:customStyle="1" w:styleId="Style39">
    <w:name w:val="Основной текст (3)"/>
    <w:basedOn w:val="Normal"/>
    <w:link w:val="CharStyle40"/>
    <w:pPr>
      <w:widowControl w:val="0"/>
      <w:shd w:val="clear" w:color="auto" w:fill="auto"/>
      <w:spacing w:after="30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