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Федеральной антимонопольной службы</w:t>
        <w:br/>
        <w:t>по Республике Карелия</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наб. Варкауса, 1 а, г. Петрозаводск,</w:t>
        <w:br/>
        <w:t>Республика Карелия, 185031</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Почтовый адрес: а/я 243, г. Петрозаводск, 185035</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тел/факс (8142)78-44-30</w:t>
      </w:r>
    </w:p>
    <w:p>
      <w:pPr>
        <w:pStyle w:val="Style5"/>
        <w:keepNext w:val="0"/>
        <w:keepLines w:val="0"/>
        <w:widowControl w:val="0"/>
        <w:shd w:val="clear" w:color="auto" w:fill="auto"/>
        <w:bidi w:val="0"/>
        <w:spacing w:before="0" w:after="140"/>
        <w:ind w:left="0" w:right="0" w:firstLine="0"/>
        <w:jc w:val="center"/>
      </w:pPr>
      <w:r>
        <w:rPr>
          <w:spacing w:val="0"/>
          <w:w w:val="100"/>
          <w:position w:val="0"/>
          <w:shd w:val="clear" w:color="auto" w:fill="auto"/>
          <w:lang w:val="ru-RU" w:eastAsia="ru-RU" w:bidi="ru-RU"/>
        </w:rPr>
        <w:t>е-гпай: 1о10@Га8.§оу.ги</w:t>
      </w:r>
    </w:p>
    <w:p>
      <w:pPr>
        <w:pStyle w:val="Style8"/>
        <w:keepNext w:val="0"/>
        <w:keepLines w:val="0"/>
        <w:widowControl w:val="0"/>
        <w:shd w:val="clear" w:color="auto" w:fill="auto"/>
        <w:tabs>
          <w:tab w:leader="underscore" w:pos="1762" w:val="left"/>
          <w:tab w:leader="underscore" w:pos="3926" w:val="left"/>
        </w:tabs>
        <w:bidi w:val="0"/>
        <w:spacing w:before="0" w:after="260" w:line="226" w:lineRule="auto"/>
        <w:ind w:left="0" w:right="0" w:firstLine="0"/>
        <w:jc w:val="center"/>
        <w:rPr>
          <w:sz w:val="20"/>
          <w:szCs w:val="20"/>
        </w:rPr>
      </w:pPr>
      <w:r>
        <w:rPr>
          <w:spacing w:val="0"/>
          <w:w w:val="100"/>
          <w:position w:val="0"/>
          <w:sz w:val="20"/>
          <w:szCs w:val="20"/>
          <w:shd w:val="clear" w:color="auto" w:fill="auto"/>
          <w:lang w:val="ru-RU" w:eastAsia="ru-RU" w:bidi="ru-RU"/>
        </w:rPr>
        <w:tab/>
        <w:t xml:space="preserve"> №</w:t>
        <w:tab/>
      </w:r>
    </w:p>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spacing w:lineRule="exact" w:line="1"/>
        <w:rPr>
          <w:sz w:val="2"/>
          <w:szCs w:val="2"/>
        </w:rPr>
      </w:pPr>
      <w:r>
        <w:br w:type="column"/>
      </w:r>
    </w:p>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дело № 010/06/106-513/2024</w:t>
      </w:r>
    </w:p>
    <w:p>
      <w:pPr>
        <w:pStyle w:val="Style13"/>
        <w:keepNext w:val="0"/>
        <w:keepLines w:val="0"/>
        <w:widowControl w:val="0"/>
        <w:shd w:val="clear" w:color="auto" w:fill="auto"/>
        <w:bidi w:val="0"/>
        <w:spacing w:before="0" w:after="240" w:line="240" w:lineRule="auto"/>
        <w:ind w:left="0" w:right="0" w:firstLine="0"/>
        <w:jc w:val="left"/>
      </w:pPr>
      <w:r>
        <w:rPr>
          <w:b/>
          <w:bCs/>
          <w:color w:val="000000"/>
          <w:spacing w:val="0"/>
          <w:w w:val="100"/>
          <w:position w:val="0"/>
          <w:sz w:val="24"/>
          <w:szCs w:val="24"/>
          <w:shd w:val="clear" w:color="auto" w:fill="auto"/>
          <w:lang w:val="ru-RU" w:eastAsia="ru-RU" w:bidi="ru-RU"/>
        </w:rPr>
        <w:t>04-18/109-2024</w:t>
      </w:r>
    </w:p>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Заказчик:</w:t>
      </w:r>
    </w:p>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ГБУЗ «Медвежьегорская ЦРБ»</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186350, Республика Карелия,</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Медвежьегорск, ул. Солунина, д. 14</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тес1дога@/с1гау10).г11</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хакирй-те^Ьеаг@тай.ш</w:t>
      </w:r>
    </w:p>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Заявитель:</w:t>
      </w:r>
    </w:p>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ООО «СОФ «БАРО»</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360004, Кабардино-Балкарская Республика,</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Нальчик, ул. Тургенева, д. 68</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8оГ1Ьаго@'та|1.га</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ита^оVа81апсоп8и1@уап^еx.ш</w:t>
      </w:r>
    </w:p>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Оператор электронной площадки:</w:t>
      </w:r>
    </w:p>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АО «Сбербанк-АСТ»</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Ь11р:-\\л\л\'. 8ЬегЬапк-а81.га</w:t>
      </w:r>
    </w:p>
    <w:p>
      <w:pPr>
        <w:pStyle w:val="Style13"/>
        <w:keepNext w:val="0"/>
        <w:keepLines w:val="0"/>
        <w:widowControl w:val="0"/>
        <w:shd w:val="clear" w:color="auto" w:fill="auto"/>
        <w:bidi w:val="0"/>
        <w:spacing w:before="0" w:after="0" w:line="240" w:lineRule="auto"/>
        <w:ind w:left="0" w:right="0" w:firstLine="0"/>
        <w:jc w:val="left"/>
        <w:sectPr>
          <w:footerReference w:type="default" r:id="rId9"/>
          <w:footnotePr>
            <w:pos w:val="pageBottom"/>
            <w:numFmt w:val="decimal"/>
            <w:numRestart w:val="continuous"/>
          </w:footnotePr>
          <w:pgSz w:w="11900" w:h="16840"/>
          <w:pgMar w:top="284" w:right="794" w:bottom="1217" w:left="1140" w:header="0" w:footer="3" w:gutter="0"/>
          <w:pgNumType w:start="1"/>
          <w:cols w:num="2" w:space="720" w:equalWidth="0">
            <w:col w:w="4090" w:space="1176"/>
            <w:col w:w="4699"/>
          </w:cols>
          <w:noEndnote/>
          <w:rtlGutter w:val="0"/>
          <w:docGrid w:linePitch="360"/>
        </w:sectPr>
      </w:pPr>
      <w:r>
        <w:rPr>
          <w:color w:val="000000"/>
          <w:spacing w:val="0"/>
          <w:w w:val="100"/>
          <w:position w:val="0"/>
          <w:sz w:val="24"/>
          <w:szCs w:val="24"/>
          <w:shd w:val="clear" w:color="auto" w:fill="auto"/>
          <w:lang w:val="ru-RU" w:eastAsia="ru-RU" w:bidi="ru-RU"/>
        </w:rPr>
        <w:t>ко@зЬегЬапк-а81.ги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6" w:after="1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4" w:right="0" w:bottom="1217" w:left="0" w:header="0" w:footer="3" w:gutter="0"/>
          <w:cols w:space="720"/>
          <w:noEndnote/>
          <w:rtlGutter w:val="0"/>
          <w:docGrid w:linePitch="360"/>
        </w:sectPr>
      </w:pPr>
    </w:p>
    <w:p>
      <w:pPr>
        <w:pStyle w:val="Style16"/>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z w:val="24"/>
          <w:szCs w:val="24"/>
          <w:shd w:val="clear" w:color="auto" w:fill="auto"/>
          <w:lang w:val="ru-RU" w:eastAsia="ru-RU" w:bidi="ru-RU"/>
        </w:rPr>
        <w:t>РЕШЕНИЕ</w:t>
      </w:r>
      <w:bookmarkEnd w:id="0"/>
    </w:p>
    <w:p>
      <w:pPr>
        <w:pStyle w:val="Style16"/>
        <w:keepNext/>
        <w:keepLines/>
        <w:widowControl w:val="0"/>
        <w:shd w:val="clear" w:color="auto" w:fill="auto"/>
        <w:bidi w:val="0"/>
        <w:spacing w:before="0" w:after="260" w:line="240" w:lineRule="auto"/>
        <w:ind w:left="0" w:right="0" w:firstLine="0"/>
        <w:jc w:val="center"/>
      </w:pPr>
      <w:r>
        <mc:AlternateContent>
          <mc:Choice Requires="wps">
            <w:drawing>
              <wp:anchor distT="0" distB="0" distL="114300" distR="114300" simplePos="0" relativeHeight="125829378" behindDoc="0" locked="0" layoutInCell="1" allowOverlap="1">
                <wp:simplePos x="0" y="0"/>
                <wp:positionH relativeFrom="page">
                  <wp:posOffset>6082665</wp:posOffset>
                </wp:positionH>
                <wp:positionV relativeFrom="paragraph">
                  <wp:posOffset>165100</wp:posOffset>
                </wp:positionV>
                <wp:extent cx="1082040" cy="225425"/>
                <wp:wrapSquare wrapText="left"/>
                <wp:docPr id="5" name="Shape 5"/>
                <a:graphic xmlns:a="http://schemas.openxmlformats.org/drawingml/2006/main">
                  <a:graphicData uri="http://schemas.microsoft.com/office/word/2010/wordprocessingShape">
                    <wps:wsp>
                      <wps:cNvSpPr txBox="1"/>
                      <wps:spPr>
                        <a:xfrm>
                          <a:ext cx="1082040" cy="22542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Петрозаводск</w:t>
                            </w:r>
                          </w:p>
                        </w:txbxContent>
                      </wps:txbx>
                      <wps:bodyPr wrap="none" lIns="0" tIns="0" rIns="0" bIns="0">
                        <a:noAutoFit/>
                      </wps:bodyPr>
                    </wps:wsp>
                  </a:graphicData>
                </a:graphic>
              </wp:anchor>
            </w:drawing>
          </mc:Choice>
          <mc:Fallback>
            <w:pict>
              <v:shape id="_x0000_s1031" type="#_x0000_t202" style="position:absolute;margin-left:478.94999999999999pt;margin-top:13.pt;width:85.200000000000003pt;height:17.75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Петрозаводск</w:t>
                      </w:r>
                    </w:p>
                  </w:txbxContent>
                </v:textbox>
                <w10:wrap type="square" side="left" anchorx="page"/>
              </v:shape>
            </w:pict>
          </mc:Fallback>
        </mc:AlternateContent>
      </w:r>
      <w:bookmarkStart w:id="2" w:name="bookmark2"/>
      <w:r>
        <w:rPr>
          <w:color w:val="000000"/>
          <w:spacing w:val="0"/>
          <w:w w:val="100"/>
          <w:position w:val="0"/>
          <w:sz w:val="24"/>
          <w:szCs w:val="24"/>
          <w:shd w:val="clear" w:color="auto" w:fill="auto"/>
          <w:lang w:val="ru-RU" w:eastAsia="ru-RU" w:bidi="ru-RU"/>
        </w:rPr>
        <w:t>по делу № 010/06/106-513/2024</w:t>
      </w:r>
      <w:bookmarkEnd w:id="2"/>
    </w:p>
    <w:p>
      <w:pPr>
        <w:pStyle w:val="Style13"/>
        <w:keepNext w:val="0"/>
        <w:keepLines w:val="0"/>
        <w:widowControl w:val="0"/>
        <w:shd w:val="clear" w:color="auto" w:fill="auto"/>
        <w:bidi w:val="0"/>
        <w:spacing w:before="0" w:after="0" w:line="240" w:lineRule="auto"/>
        <w:ind w:left="0" w:right="0" w:firstLine="540"/>
        <w:jc w:val="left"/>
      </w:pPr>
      <w:r>
        <w:rPr>
          <w:color w:val="000000"/>
          <w:spacing w:val="0"/>
          <w:w w:val="100"/>
          <w:position w:val="0"/>
          <w:sz w:val="24"/>
          <w:szCs w:val="24"/>
          <w:shd w:val="clear" w:color="auto" w:fill="auto"/>
          <w:lang w:val="ru-RU" w:eastAsia="ru-RU" w:bidi="ru-RU"/>
        </w:rPr>
        <w:t>Резолютивная часть решения объявлена «26» сентября 2024 года</w:t>
      </w:r>
    </w:p>
    <w:p>
      <w:pPr>
        <w:pStyle w:val="Style13"/>
        <w:keepNext w:val="0"/>
        <w:keepLines w:val="0"/>
        <w:widowControl w:val="0"/>
        <w:shd w:val="clear" w:color="auto" w:fill="auto"/>
        <w:bidi w:val="0"/>
        <w:spacing w:before="0" w:after="260" w:line="240" w:lineRule="auto"/>
        <w:ind w:left="0" w:right="0" w:firstLine="540"/>
        <w:jc w:val="left"/>
      </w:pPr>
      <w:r>
        <w:rPr>
          <w:color w:val="000000"/>
          <w:spacing w:val="0"/>
          <w:w w:val="100"/>
          <w:position w:val="0"/>
          <w:sz w:val="24"/>
          <w:szCs w:val="24"/>
          <w:shd w:val="clear" w:color="auto" w:fill="auto"/>
          <w:lang w:val="ru-RU" w:eastAsia="ru-RU" w:bidi="ru-RU"/>
        </w:rPr>
        <w:t>Решение в полном объеме изготовлено «01» октября 2024 года</w:t>
      </w:r>
    </w:p>
    <w:p>
      <w:pPr>
        <w:pStyle w:val="Style13"/>
        <w:keepNext w:val="0"/>
        <w:keepLines w:val="0"/>
        <w:widowControl w:val="0"/>
        <w:shd w:val="clear" w:color="auto" w:fill="auto"/>
        <w:bidi w:val="0"/>
        <w:spacing w:before="0" w:after="260" w:line="240" w:lineRule="auto"/>
        <w:ind w:left="0" w:right="0" w:firstLine="580"/>
        <w:jc w:val="both"/>
      </w:pPr>
      <w:r>
        <w:rPr>
          <w:color w:val="000000"/>
          <w:spacing w:val="0"/>
          <w:w w:val="100"/>
          <w:position w:val="0"/>
          <w:sz w:val="24"/>
          <w:szCs w:val="24"/>
          <w:shd w:val="clear" w:color="auto" w:fill="auto"/>
          <w:lang w:val="ru-RU" w:eastAsia="ru-RU" w:bidi="ru-RU"/>
        </w:rPr>
        <w:t>Комиссия Карельского УФАС России по контролю в сфере закупок для государственных и муниципальных нужд в составе: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Грущакова Г.А. - заместитель председателя Комиссии, заместитель руководителя - начальник отдела контроля органов власти и закупок Карельского УФАС России;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Суханов М.С. - член Комиссии, заместитель начальника отдела контроля органов власти и закупок Карельского УФАС России;</w:t>
      </w:r>
    </w:p>
    <w:p>
      <w:pPr>
        <w:pStyle w:val="Style13"/>
        <w:keepNext w:val="0"/>
        <w:keepLines w:val="0"/>
        <w:widowControl w:val="0"/>
        <w:shd w:val="clear" w:color="auto" w:fill="auto"/>
        <w:bidi w:val="0"/>
        <w:spacing w:before="0" w:after="260" w:line="240" w:lineRule="auto"/>
        <w:ind w:left="0" w:right="0" w:firstLine="580"/>
        <w:jc w:val="both"/>
      </w:pPr>
      <w:r>
        <w:rPr>
          <w:color w:val="000000"/>
          <w:spacing w:val="0"/>
          <w:w w:val="100"/>
          <w:position w:val="0"/>
          <w:sz w:val="24"/>
          <w:szCs w:val="24"/>
          <w:shd w:val="clear" w:color="auto" w:fill="auto"/>
          <w:lang w:val="ru-RU" w:eastAsia="ru-RU" w:bidi="ru-RU"/>
        </w:rPr>
        <w:t>Лайдинен О.В. - член Комиссии, ведущий специалист-эксперт отдела контроля органов власти и закупок Карельского УФАС России,</w:t>
      </w:r>
    </w:p>
    <w:p>
      <w:pPr>
        <w:pStyle w:val="Style13"/>
        <w:keepNext w:val="0"/>
        <w:keepLines w:val="0"/>
        <w:widowControl w:val="0"/>
        <w:shd w:val="clear" w:color="auto" w:fill="auto"/>
        <w:bidi w:val="0"/>
        <w:spacing w:before="0" w:after="0" w:line="240" w:lineRule="auto"/>
        <w:ind w:left="0" w:right="0" w:firstLine="540"/>
        <w:jc w:val="left"/>
      </w:pPr>
      <w:r>
        <w:rPr>
          <w:color w:val="000000"/>
          <w:spacing w:val="0"/>
          <w:w w:val="100"/>
          <w:position w:val="0"/>
          <w:sz w:val="24"/>
          <w:szCs w:val="24"/>
          <w:shd w:val="clear" w:color="auto" w:fill="auto"/>
          <w:lang w:val="ru-RU" w:eastAsia="ru-RU" w:bidi="ru-RU"/>
        </w:rPr>
        <w:t>при участии в режиме видео-конференц-связи до и после перерыва представителей:</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Заказчика - ГБУЗ «Медвежьегорская ЦРБ» Кучина П.М., Галашевой И.А. (копии доверенностей в материалах дела);</w:t>
      </w:r>
    </w:p>
    <w:p>
      <w:pPr>
        <w:pStyle w:val="Style13"/>
        <w:keepNext w:val="0"/>
        <w:keepLines w:val="0"/>
        <w:widowControl w:val="0"/>
        <w:shd w:val="clear" w:color="auto" w:fill="auto"/>
        <w:bidi w:val="0"/>
        <w:spacing w:before="0" w:after="0" w:line="240" w:lineRule="auto"/>
        <w:ind w:left="0" w:right="0" w:firstLine="540"/>
        <w:jc w:val="left"/>
      </w:pPr>
      <w:r>
        <w:rPr>
          <w:color w:val="000000"/>
          <w:spacing w:val="0"/>
          <w:w w:val="100"/>
          <w:position w:val="0"/>
          <w:sz w:val="24"/>
          <w:szCs w:val="24"/>
          <w:shd w:val="clear" w:color="auto" w:fill="auto"/>
          <w:lang w:val="ru-RU" w:eastAsia="ru-RU" w:bidi="ru-RU"/>
        </w:rPr>
        <w:t>Заявителя - ООО «СОФ «Баро» Умарова А.В. (копия доверенности в материалах дела),</w:t>
      </w:r>
    </w:p>
    <w:p>
      <w:pPr>
        <w:pStyle w:val="Style13"/>
        <w:keepNext w:val="0"/>
        <w:keepLines w:val="0"/>
        <w:widowControl w:val="0"/>
        <w:shd w:val="clear" w:color="auto" w:fill="auto"/>
        <w:bidi w:val="0"/>
        <w:spacing w:before="0" w:after="200" w:line="240" w:lineRule="auto"/>
        <w:ind w:left="0" w:right="0" w:firstLine="580"/>
        <w:jc w:val="both"/>
      </w:pPr>
      <w:r>
        <w:rPr>
          <w:color w:val="000000"/>
          <w:spacing w:val="0"/>
          <w:w w:val="100"/>
          <w:position w:val="0"/>
          <w:sz w:val="24"/>
          <w:szCs w:val="24"/>
          <w:shd w:val="clear" w:color="auto" w:fill="auto"/>
          <w:lang w:val="ru-RU" w:eastAsia="ru-RU" w:bidi="ru-RU"/>
        </w:rPr>
        <w:t>рассмотрев жалобу ООО «СОФ «БАРО» (вх. от 19.09.2024 № 5770/24) на действия Заказчика - ГБУЗ «Медвежьегорская ЦРБ» при проведении электронного аукциона на поставку расходного</w:t>
      </w:r>
    </w:p>
    <w:p>
      <w:pPr>
        <w:pStyle w:val="Style18"/>
        <w:keepNext w:val="0"/>
        <w:keepLines w:val="0"/>
        <w:widowControl w:val="0"/>
        <w:shd w:val="clear" w:color="auto" w:fill="auto"/>
        <w:bidi w:val="0"/>
        <w:spacing w:before="0" w:line="240" w:lineRule="auto"/>
        <w:ind w:left="0" w:right="0"/>
        <w:jc w:val="left"/>
        <w:sectPr>
          <w:footnotePr>
            <w:pos w:val="pageBottom"/>
            <w:numFmt w:val="decimal"/>
            <w:numRestart w:val="continuous"/>
          </w:footnotePr>
          <w:type w:val="continuous"/>
          <w:pgSz w:w="11900" w:h="16840"/>
          <w:pgMar w:top="284" w:right="545" w:bottom="1217" w:left="545" w:header="0" w:footer="3" w:gutter="0"/>
          <w:cols w:space="720"/>
          <w:noEndnote/>
          <w:rtlGutter w:val="0"/>
          <w:docGrid w:linePitch="360"/>
        </w:sectPr>
      </w:pPr>
      <w:r>
        <w:rPr>
          <w:color w:val="000000"/>
          <w:spacing w:val="0"/>
          <w:w w:val="100"/>
          <w:position w:val="0"/>
          <w:shd w:val="clear" w:color="auto" w:fill="auto"/>
          <w:lang w:val="ru-RU" w:eastAsia="ru-RU" w:bidi="ru-RU"/>
        </w:rPr>
        <w:t>||||||||||||||||||||||||</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материала для ГБУЗ «Медвежьегорская ЦРБ» (шприцы) (извещение №0306300033524000217) (далее - аукцион)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3"/>
        <w:keepNext w:val="0"/>
        <w:keepLines w:val="0"/>
        <w:widowControl w:val="0"/>
        <w:shd w:val="clear" w:color="auto" w:fill="auto"/>
        <w:bidi w:val="0"/>
        <w:spacing w:before="0" w:after="260" w:line="240" w:lineRule="auto"/>
        <w:ind w:left="4740" w:right="0" w:firstLine="0"/>
        <w:jc w:val="both"/>
      </w:pPr>
      <w:r>
        <w:rPr>
          <w:b/>
          <w:bCs/>
          <w:color w:val="000000"/>
          <w:spacing w:val="0"/>
          <w:w w:val="100"/>
          <w:position w:val="0"/>
          <w:sz w:val="24"/>
          <w:szCs w:val="24"/>
          <w:shd w:val="clear" w:color="auto" w:fill="auto"/>
          <w:lang w:val="ru-RU" w:eastAsia="ru-RU" w:bidi="ru-RU"/>
        </w:rPr>
        <w:t>УСТАНОВИЛА: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Карельское УФАС России 19.09.2024 поступила жалоба Заявителя на действия Заказчика при проведении электронного аукциона на поставку шприцев.</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По мнению Заявителя, документация об электронном аукционе составлена Заказчиком с нарушениями действующего законодательства ввиду следующего:</w:t>
      </w:r>
    </w:p>
    <w:p>
      <w:pPr>
        <w:pStyle w:val="Style13"/>
        <w:keepNext w:val="0"/>
        <w:keepLines w:val="0"/>
        <w:widowControl w:val="0"/>
        <w:numPr>
          <w:ilvl w:val="0"/>
          <w:numId w:val="1"/>
        </w:numPr>
        <w:shd w:val="clear" w:color="auto" w:fill="auto"/>
        <w:tabs>
          <w:tab w:pos="821"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при описании объекта закупки в соответствии с позициями КТРУ 32.50.13.110-00004568 (для позиции № 3 Технического задания) и 32.50.13.110-00004565 (для позиции № 4 Технического задания) Заказчиком включены </w:t>
      </w:r>
      <w:r>
        <w:rPr>
          <w:color w:val="000000"/>
          <w:spacing w:val="0"/>
          <w:w w:val="100"/>
          <w:position w:val="0"/>
          <w:sz w:val="24"/>
          <w:szCs w:val="24"/>
          <w:u w:val="single"/>
          <w:shd w:val="clear" w:color="auto" w:fill="auto"/>
          <w:lang w:val="ru-RU" w:eastAsia="ru-RU" w:bidi="ru-RU"/>
        </w:rPr>
        <w:t>дополнительные характеристики товара,</w:t>
      </w:r>
      <w:r>
        <w:rPr>
          <w:color w:val="000000"/>
          <w:spacing w:val="0"/>
          <w:w w:val="100"/>
          <w:position w:val="0"/>
          <w:sz w:val="24"/>
          <w:szCs w:val="24"/>
          <w:shd w:val="clear" w:color="auto" w:fill="auto"/>
          <w:lang w:val="ru-RU" w:eastAsia="ru-RU" w:bidi="ru-RU"/>
        </w:rPr>
        <w:t xml:space="preserve"> совокупности которых соответствует продукция единственных производителей (Фогт Медикал Фертриб ГмбХ и ООО «Парамед Консалтинг» соответственно), </w:t>
      </w:r>
      <w:r>
        <w:rPr>
          <w:color w:val="000000"/>
          <w:spacing w:val="0"/>
          <w:w w:val="100"/>
          <w:position w:val="0"/>
          <w:sz w:val="24"/>
          <w:szCs w:val="24"/>
          <w:u w:val="single"/>
          <w:shd w:val="clear" w:color="auto" w:fill="auto"/>
          <w:lang w:val="ru-RU" w:eastAsia="ru-RU" w:bidi="ru-RU"/>
        </w:rPr>
        <w:t>без надлежащего обоснования</w:t>
      </w:r>
      <w:r>
        <w:rPr>
          <w:color w:val="000000"/>
          <w:spacing w:val="0"/>
          <w:w w:val="100"/>
          <w:position w:val="0"/>
          <w:sz w:val="24"/>
          <w:szCs w:val="24"/>
          <w:shd w:val="clear" w:color="auto" w:fill="auto"/>
          <w:lang w:val="ru-RU" w:eastAsia="ru-RU" w:bidi="ru-RU"/>
        </w:rPr>
        <w:t xml:space="preserve"> необходимости их применения (в соответствии с СанПиН 3.3686-21), что привело к </w:t>
      </w:r>
      <w:r>
        <w:rPr>
          <w:color w:val="000000"/>
          <w:spacing w:val="0"/>
          <w:w w:val="100"/>
          <w:position w:val="0"/>
          <w:sz w:val="24"/>
          <w:szCs w:val="24"/>
          <w:u w:val="single"/>
          <w:shd w:val="clear" w:color="auto" w:fill="auto"/>
          <w:lang w:val="ru-RU" w:eastAsia="ru-RU" w:bidi="ru-RU"/>
        </w:rPr>
        <w:t>необоснованному ограничению количества участников закупки;</w:t>
      </w:r>
    </w:p>
    <w:p>
      <w:pPr>
        <w:pStyle w:val="Style13"/>
        <w:keepNext w:val="0"/>
        <w:keepLines w:val="0"/>
        <w:widowControl w:val="0"/>
        <w:numPr>
          <w:ilvl w:val="0"/>
          <w:numId w:val="1"/>
        </w:numPr>
        <w:shd w:val="clear" w:color="auto" w:fill="auto"/>
        <w:tabs>
          <w:tab w:pos="821"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включение в объект закупки товаров (позиции 3 и 4), производящихся исключительно зарубежными компаниями (Германия и Китай), фактически исключает возможность отечественным производителям медицинских изделий принять участие в закупке. Таким образом, установленные в извещении об аукционе ограничения и условия допуска товара в соответствии с постановлением Правительства РФ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№102) не могут быть реализованы.</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Таким образом, примененная Заказчиком детализация описания объекта закупки, по мнению Заявителя, приводит к ограничению конкуренции и количества участников аукциона, нарушению требований статей 8, 33, 42 Закона о контрактной системе, усматриваются признаки нарушения статьи 17 Федерального закона от 26.07.2006 №135-ФЗ «О защите конкуренции» (далее - Закон о защите конкуренции).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 основании вышеизложенного, ООО «СОФ «Баро» просит признать жалобу обоснованной, выдать Заказчику предписание об устранении выявленных нарушений в соответствии с законодательством РФ.</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ГБУЗ «Медвежьегорская ЦРБ» представлены пояснения по жалобе (вх. от 25.09.2024 №5866-ЭП/24), с доводами которой Заказчик не согласился, просил признать ее необоснованной.</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ходе рассмотрения жалобы Комиссией Карельского УФАС России установлено следующее:</w:t>
      </w:r>
    </w:p>
    <w:p>
      <w:pPr>
        <w:pStyle w:val="Style13"/>
        <w:keepNext w:val="0"/>
        <w:keepLines w:val="0"/>
        <w:widowControl w:val="0"/>
        <w:numPr>
          <w:ilvl w:val="0"/>
          <w:numId w:val="1"/>
        </w:numPr>
        <w:shd w:val="clear" w:color="auto" w:fill="auto"/>
        <w:tabs>
          <w:tab w:pos="817"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извещение о проведении электронного аукциона размещено на официальном сайте Единой информационной системы в сфере закупок (ЪНрУ/хакирктдо^ги) 12.09.2024;</w:t>
      </w:r>
    </w:p>
    <w:p>
      <w:pPr>
        <w:pStyle w:val="Style13"/>
        <w:keepNext w:val="0"/>
        <w:keepLines w:val="0"/>
        <w:widowControl w:val="0"/>
        <w:numPr>
          <w:ilvl w:val="0"/>
          <w:numId w:val="1"/>
        </w:numPr>
        <w:shd w:val="clear" w:color="auto" w:fill="auto"/>
        <w:tabs>
          <w:tab w:pos="132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адрес электронной площадки -</w:t>
      </w:r>
      <w:r>
        <w:fldChar w:fldCharType="begin"/>
      </w:r>
      <w:r>
        <w:rPr/>
        <w:instrText> HYPERLINK "http://www.sberbank-ast.ru/"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u w:val="single"/>
          <w:shd w:val="clear" w:color="auto" w:fill="auto"/>
          <w:lang w:val="ru-RU" w:eastAsia="ru-RU" w:bidi="ru-RU"/>
        </w:rPr>
        <w:t>1шр:\у\\лу.^ЬегЬапк-аЫ.Г11</w:t>
      </w:r>
      <w:r>
        <w:fldChar w:fldCharType="end"/>
      </w:r>
      <w:r>
        <w:rPr>
          <w:color w:val="000000"/>
          <w:spacing w:val="0"/>
          <w:w w:val="100"/>
          <w:position w:val="0"/>
          <w:sz w:val="24"/>
          <w:szCs w:val="24"/>
          <w:shd w:val="clear" w:color="auto" w:fill="auto"/>
          <w:lang w:val="ru-RU" w:eastAsia="ru-RU" w:bidi="ru-RU"/>
        </w:rPr>
        <w:t>;</w:t>
      </w:r>
    </w:p>
    <w:p>
      <w:pPr>
        <w:pStyle w:val="Style13"/>
        <w:keepNext w:val="0"/>
        <w:keepLines w:val="0"/>
        <w:widowControl w:val="0"/>
        <w:numPr>
          <w:ilvl w:val="0"/>
          <w:numId w:val="1"/>
        </w:numPr>
        <w:shd w:val="clear" w:color="auto" w:fill="auto"/>
        <w:tabs>
          <w:tab w:pos="132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номер извещения - 0306300033524000217;</w:t>
      </w:r>
    </w:p>
    <w:p>
      <w:pPr>
        <w:pStyle w:val="Style13"/>
        <w:keepNext w:val="0"/>
        <w:keepLines w:val="0"/>
        <w:widowControl w:val="0"/>
        <w:numPr>
          <w:ilvl w:val="0"/>
          <w:numId w:val="1"/>
        </w:numPr>
        <w:shd w:val="clear" w:color="auto" w:fill="auto"/>
        <w:tabs>
          <w:tab w:pos="821"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наименование объекта закупки - поставка расходного материала для ГБУЗ «Медвежьегорской ЦРБ» (шприцы);</w:t>
      </w:r>
    </w:p>
    <w:p>
      <w:pPr>
        <w:pStyle w:val="Style13"/>
        <w:keepNext w:val="0"/>
        <w:keepLines w:val="0"/>
        <w:widowControl w:val="0"/>
        <w:numPr>
          <w:ilvl w:val="0"/>
          <w:numId w:val="1"/>
        </w:numPr>
        <w:shd w:val="clear" w:color="auto" w:fill="auto"/>
        <w:tabs>
          <w:tab w:pos="821"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Заказчик - государственное бюджетное учреждение здравоохранения Республики Карелия «Медвежьегорская центральная районная больница» (ГБУЗ «Медвежьегорской ЦРБ»);</w:t>
      </w:r>
    </w:p>
    <w:p>
      <w:pPr>
        <w:pStyle w:val="Style13"/>
        <w:keepNext w:val="0"/>
        <w:keepLines w:val="0"/>
        <w:widowControl w:val="0"/>
        <w:numPr>
          <w:ilvl w:val="0"/>
          <w:numId w:val="1"/>
        </w:numPr>
        <w:shd w:val="clear" w:color="auto" w:fill="auto"/>
        <w:tabs>
          <w:tab w:pos="132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начальная (максимальная) цена контракта - 491 460,00 рублей;</w:t>
      </w:r>
    </w:p>
    <w:p>
      <w:pPr>
        <w:pStyle w:val="Style13"/>
        <w:keepNext w:val="0"/>
        <w:keepLines w:val="0"/>
        <w:widowControl w:val="0"/>
        <w:numPr>
          <w:ilvl w:val="0"/>
          <w:numId w:val="1"/>
        </w:numPr>
        <w:shd w:val="clear" w:color="auto" w:fill="auto"/>
        <w:tabs>
          <w:tab w:pos="821"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из протокола подведения итогов определения поставщика (подрядчика, исполнителя) от 23.09.2024 №ИЭА1 следует, что на участие в аукционе подано 2 (две) заявки участников, одна из </w:t>
      </w:r>
      <w:r>
        <w:rPr>
          <w:color w:val="000000"/>
          <w:spacing w:val="0"/>
          <w:w w:val="100"/>
          <w:position w:val="0"/>
          <w:sz w:val="24"/>
          <w:szCs w:val="24"/>
          <w:shd w:val="clear" w:color="auto" w:fill="auto"/>
          <w:lang w:val="ru-RU" w:eastAsia="ru-RU" w:bidi="ru-RU"/>
        </w:rPr>
        <w:t>которых отклонена комиссией Заказчика на основании пункта 8 части 12 статьи 48 Закона о контрактной системе. Контракт заключается с участником закупки под идентификационным номером 8, с предложением о цене контракта 489 002,70 рублей.</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Рассмотрение жалобы назначено на 10 часов 45 минут 25.09.2024 в режиме видео-конференц</w:t>
        <w:softHyphen/>
        <w:t>связи, состоялось в указанное время.</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 целью изучения дополнительных материалов дела объявлен перерыв в принятии решения по жалобе до 14 часов 15 минут 26.09.2024, после перерыва заседание продолжилось в прежнем составе Комиссии, при участии тех же представителей Сторон.</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 момент рассмотрения поступившей жалобы государственный контракт не заключен.</w:t>
      </w:r>
    </w:p>
    <w:p>
      <w:pPr>
        <w:pStyle w:val="Style13"/>
        <w:keepNext w:val="0"/>
        <w:keepLines w:val="0"/>
        <w:widowControl w:val="0"/>
        <w:shd w:val="clear" w:color="auto" w:fill="auto"/>
        <w:bidi w:val="0"/>
        <w:spacing w:before="0" w:after="0" w:line="240" w:lineRule="auto"/>
        <w:ind w:left="0" w:right="0" w:firstLine="600"/>
        <w:jc w:val="both"/>
      </w:pPr>
      <w:r>
        <w:rPr>
          <w:b/>
          <w:bCs/>
          <w:color w:val="000000"/>
          <w:spacing w:val="0"/>
          <w:w w:val="100"/>
          <w:position w:val="0"/>
          <w:sz w:val="24"/>
          <w:szCs w:val="24"/>
          <w:shd w:val="clear" w:color="auto" w:fill="auto"/>
          <w:lang w:val="ru-RU" w:eastAsia="ru-RU" w:bidi="ru-RU"/>
        </w:rPr>
        <w:t>Изучив представленные материалы, заслушав пояснения представителей Заявителя, Заказчика, Комиссия Карельского УФАС России пришла к следующим выводам.</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В силу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w:t>
      </w:r>
      <w:r>
        <w:rPr>
          <w:color w:val="000000"/>
          <w:spacing w:val="0"/>
          <w:w w:val="100"/>
          <w:position w:val="0"/>
          <w:sz w:val="24"/>
          <w:szCs w:val="24"/>
          <w:u w:val="single"/>
          <w:shd w:val="clear" w:color="auto" w:fill="auto"/>
          <w:lang w:val="ru-RU" w:eastAsia="ru-RU" w:bidi="ru-RU"/>
        </w:rPr>
        <w:t>необоснованному ограничению числа участников закупок</w:t>
      </w:r>
      <w:r>
        <w:rPr>
          <w:color w:val="000000"/>
          <w:spacing w:val="0"/>
          <w:w w:val="100"/>
          <w:position w:val="0"/>
          <w:sz w:val="24"/>
          <w:szCs w:val="24"/>
          <w:shd w:val="clear" w:color="auto" w:fill="auto"/>
          <w:lang w:val="ru-RU" w:eastAsia="ru-RU" w:bidi="ru-RU"/>
        </w:rPr>
        <w:t>.</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силу пункта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Пунктом 2 части 1 статьи 33 Закона о контрактной системе предусмотрено правило использования заказчиками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w:t>
      </w:r>
      <w:r>
        <w:rPr>
          <w:color w:val="000000"/>
          <w:spacing w:val="0"/>
          <w:w w:val="100"/>
          <w:position w:val="0"/>
          <w:sz w:val="24"/>
          <w:szCs w:val="24"/>
          <w:u w:val="single"/>
          <w:shd w:val="clear" w:color="auto" w:fill="auto"/>
          <w:lang w:val="ru-RU" w:eastAsia="ru-RU" w:bidi="ru-RU"/>
        </w:rPr>
        <w:t>определением соответствия поставляемого товара,</w:t>
      </w:r>
      <w:r>
        <w:rPr>
          <w:color w:val="000000"/>
          <w:spacing w:val="0"/>
          <w:w w:val="100"/>
          <w:position w:val="0"/>
          <w:sz w:val="24"/>
          <w:szCs w:val="24"/>
          <w:shd w:val="clear" w:color="auto" w:fill="auto"/>
          <w:lang w:val="ru-RU" w:eastAsia="ru-RU" w:bidi="ru-RU"/>
        </w:rPr>
        <w:t xml:space="preserve"> выполняемой работы, оказываемой услуги </w:t>
      </w:r>
      <w:r>
        <w:rPr>
          <w:color w:val="000000"/>
          <w:spacing w:val="0"/>
          <w:w w:val="100"/>
          <w:position w:val="0"/>
          <w:sz w:val="24"/>
          <w:szCs w:val="24"/>
          <w:u w:val="single"/>
          <w:shd w:val="clear" w:color="auto" w:fill="auto"/>
          <w:lang w:val="ru-RU" w:eastAsia="ru-RU" w:bidi="ru-RU"/>
        </w:rPr>
        <w:t>потребностям заказчика</w:t>
      </w:r>
      <w:r>
        <w:rPr>
          <w:color w:val="000000"/>
          <w:spacing w:val="0"/>
          <w:w w:val="100"/>
          <w:position w:val="0"/>
          <w:sz w:val="24"/>
          <w:szCs w:val="24"/>
          <w:shd w:val="clear" w:color="auto" w:fill="auto"/>
          <w:lang w:val="ru-RU" w:eastAsia="ru-RU" w:bidi="ru-RU"/>
        </w:rPr>
        <w:t>.</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силу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частью 3 статьи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 основании пункта 14 части 3 статьи 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части 5 статьи 23 Закона о контрактной системе, формирование и ведение в ЕИС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Частью 6 статьи 23 Закона о контрактной системе предусмотрено,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Постановлением Правительства РФ от 08.02.2017 № 145 утверждены правила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№145 (далее - Правила №145).</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пунктом 4 Правил №145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с указанной в ней даты начала обязательного применения.</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Пунктом 5 Правил №145 предусмотрено,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w:t>
      </w:r>
      <w:r>
        <w:rPr>
          <w:color w:val="000000"/>
          <w:spacing w:val="0"/>
          <w:w w:val="100"/>
          <w:position w:val="0"/>
          <w:sz w:val="24"/>
          <w:szCs w:val="24"/>
          <w:shd w:val="clear" w:color="auto" w:fill="auto"/>
          <w:lang w:val="ru-RU" w:eastAsia="ru-RU" w:bidi="ru-RU"/>
        </w:rPr>
        <w:t>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 под которые рассматриваемая закупка не подпадает).</w:t>
      </w:r>
    </w:p>
    <w:p>
      <w:pPr>
        <w:pStyle w:val="Style13"/>
        <w:keepNext w:val="0"/>
        <w:keepLines w:val="0"/>
        <w:widowControl w:val="0"/>
        <w:shd w:val="clear" w:color="auto" w:fill="auto"/>
        <w:bidi w:val="0"/>
        <w:spacing w:before="0" w:after="280" w:line="240" w:lineRule="auto"/>
        <w:ind w:left="0" w:right="0" w:firstLine="600"/>
        <w:jc w:val="both"/>
      </w:pPr>
      <w:r>
        <w:rPr>
          <w:color w:val="000000"/>
          <w:spacing w:val="0"/>
          <w:w w:val="100"/>
          <w:position w:val="0"/>
          <w:sz w:val="24"/>
          <w:szCs w:val="24"/>
          <w:shd w:val="clear" w:color="auto" w:fill="auto"/>
          <w:lang w:val="ru-RU" w:eastAsia="ru-RU" w:bidi="ru-RU"/>
        </w:rPr>
        <w:t xml:space="preserve">Согласно пункту 6 Правил №145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w:t>
      </w:r>
      <w:r>
        <w:rPr>
          <w:color w:val="000000"/>
          <w:spacing w:val="0"/>
          <w:w w:val="100"/>
          <w:position w:val="0"/>
          <w:sz w:val="24"/>
          <w:szCs w:val="24"/>
          <w:u w:val="single"/>
          <w:shd w:val="clear" w:color="auto" w:fill="auto"/>
          <w:lang w:val="ru-RU" w:eastAsia="ru-RU" w:bidi="ru-RU"/>
        </w:rPr>
        <w:t>обоснование необходимости использования такой информации (при наличии описания товара, работы, услуги в позиции каталога</w:t>
      </w:r>
      <w:r>
        <w:rPr>
          <w:color w:val="000000"/>
          <w:spacing w:val="0"/>
          <w:w w:val="100"/>
          <w:position w:val="0"/>
          <w:sz w:val="24"/>
          <w:szCs w:val="24"/>
          <w:shd w:val="clear" w:color="auto" w:fill="auto"/>
          <w:lang w:val="ru-RU" w:eastAsia="ru-RU" w:bidi="ru-RU"/>
        </w:rPr>
        <w:t>).</w:t>
      </w:r>
    </w:p>
    <w:p>
      <w:pPr>
        <w:pStyle w:val="Style13"/>
        <w:keepNext w:val="0"/>
        <w:keepLines w:val="0"/>
        <w:widowControl w:val="0"/>
        <w:shd w:val="clear" w:color="auto" w:fill="auto"/>
        <w:bidi w:val="0"/>
        <w:spacing w:before="0" w:after="280" w:line="240" w:lineRule="auto"/>
        <w:ind w:left="0" w:right="0" w:firstLine="600"/>
        <w:jc w:val="both"/>
      </w:pPr>
      <w:r>
        <w:rPr>
          <w:color w:val="000000"/>
          <w:spacing w:val="0"/>
          <w:w w:val="100"/>
          <w:position w:val="0"/>
          <w:sz w:val="24"/>
          <w:szCs w:val="24"/>
          <w:shd w:val="clear" w:color="auto" w:fill="auto"/>
          <w:lang w:val="ru-RU" w:eastAsia="ru-RU" w:bidi="ru-RU"/>
        </w:rPr>
        <w:t>Так, Комиссией Карельского УФАС России установлено, что согласно извещению о проведении электронного аукциона и позициям 3, 4 Технического задания (приложение к извещению) Заказчиком закупаются медицинские изделия, в том числе со следующими дополнительными характеристиками товара:</w:t>
      </w:r>
    </w:p>
    <w:tbl>
      <w:tblPr>
        <w:tblOverlap w:val="never"/>
        <w:jc w:val="center"/>
        <w:tblLayout w:type="fixed"/>
      </w:tblPr>
      <w:tblGrid>
        <w:gridCol w:w="562"/>
        <w:gridCol w:w="1589"/>
        <w:gridCol w:w="1694"/>
        <w:gridCol w:w="2606"/>
        <w:gridCol w:w="2554"/>
        <w:gridCol w:w="1776"/>
      </w:tblGrid>
      <w:tr>
        <w:trPr>
          <w:trHeight w:val="701" w:hRule="exact"/>
        </w:trPr>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 п/п</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Наименование по КТРУ</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Наименование характеристики</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Значение параметра</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Инструкция</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Обоснование дополнительных характеристик</w:t>
            </w:r>
          </w:p>
        </w:tc>
      </w:tr>
      <w:tr>
        <w:trPr>
          <w:trHeight w:val="710" w:hRule="exact"/>
        </w:trPr>
        <w:tc>
          <w:tcPr>
            <w:vMerge w:val="restart"/>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3</w:t>
            </w:r>
          </w:p>
        </w:tc>
        <w:tc>
          <w:tcPr>
            <w:vMerge w:val="restart"/>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Шприц общего назначения КТРУ 32.50.13.110</w:t>
              <w:softHyphen/>
              <w:t>00004574</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Градуированный объем шприца</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5 мл</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 соответствии с КТРУ</w:t>
            </w:r>
          </w:p>
        </w:tc>
      </w:tr>
      <w:tr>
        <w:trPr>
          <w:trHeight w:val="1258"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Коннектор</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Луер Лок</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 соответствии с КТРУ</w:t>
            </w:r>
          </w:p>
        </w:tc>
      </w:tr>
      <w:tr>
        <w:trPr>
          <w:trHeight w:val="2544"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Инженерная защита от случайного укола иглой</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Дополнительный прозрачный цилиндр, расположенный поверх цилиндра шприца. После инъекции дополнительный цилиндр смещается в вверх, по направлению к игле, блокируется и безвозвратно фиксирует иглу внутри цилиндра</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В соответствии с СанПиН 3.3686</w:t>
              <w:softHyphen/>
              <w:t xml:space="preserve">21 </w:t>
            </w:r>
            <w:r>
              <w:rPr>
                <w:color w:val="000000"/>
                <w:spacing w:val="0"/>
                <w:w w:val="100"/>
                <w:position w:val="0"/>
                <w:sz w:val="20"/>
                <w:szCs w:val="20"/>
                <w:shd w:val="clear" w:color="auto" w:fill="auto"/>
                <w:lang w:val="ru-RU" w:eastAsia="ru-RU" w:bidi="ru-RU"/>
              </w:rPr>
              <w:t>"Санитарно- эпидемиологичес кие требования по профилактике инфекционных болезней"</w:t>
            </w:r>
          </w:p>
        </w:tc>
      </w:tr>
      <w:tr>
        <w:trPr>
          <w:trHeight w:val="710" w:hRule="exact"/>
        </w:trPr>
        <w:tc>
          <w:tcPr>
            <w:vMerge w:val="restart"/>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4</w:t>
            </w:r>
          </w:p>
        </w:tc>
        <w:tc>
          <w:tcPr>
            <w:vMerge w:val="restart"/>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Шприц общего назначения КТРУ 32.50.13.110</w:t>
              <w:softHyphen/>
              <w:t>00004565</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Градуированный объем шприца</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2 мл</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 соответствии с КТРУ</w:t>
            </w:r>
          </w:p>
        </w:tc>
      </w:tr>
      <w:tr>
        <w:trPr>
          <w:trHeight w:val="701"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Коннектор</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Луер Лок</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 соответствии с КТРУ</w:t>
            </w:r>
          </w:p>
        </w:tc>
      </w:tr>
      <w:tr>
        <w:trPr>
          <w:trHeight w:val="2328" w:hRule="exact"/>
        </w:trPr>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Инженерная защита от случайного укола иглой</w:t>
            </w:r>
          </w:p>
        </w:tc>
        <w:tc>
          <w:tcPr>
            <w:tcBorders>
              <w:top w:val="single" w:sz="4"/>
              <w:left w:val="single" w:sz="4"/>
              <w:bottom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Интегрированный в канюлю иглы защитный колпачок, который надевается и безвозвратно фиксируется на игле без прикосновения к ней специалиста и возможности снятия ее с шприца</w:t>
            </w:r>
          </w:p>
        </w:tc>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Значение характеристики не может изменяться участником закупки</w:t>
            </w:r>
          </w:p>
        </w:tc>
        <w:tc>
          <w:tcPr>
            <w:tcBorders>
              <w:top w:val="single" w:sz="4"/>
              <w:left w:val="single" w:sz="4"/>
              <w:bottom w:val="single" w:sz="4"/>
              <w:righ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 xml:space="preserve">В соответствии с СанПиН 3.3686-21 </w:t>
            </w:r>
            <w:r>
              <w:rPr>
                <w:color w:val="000000"/>
                <w:spacing w:val="0"/>
                <w:w w:val="100"/>
                <w:position w:val="0"/>
                <w:sz w:val="20"/>
                <w:szCs w:val="20"/>
                <w:shd w:val="clear" w:color="auto" w:fill="auto"/>
                <w:lang w:val="ru-RU" w:eastAsia="ru-RU" w:bidi="ru-RU"/>
              </w:rPr>
              <w:t>"Санитарно- эпидемиологичес кие требования по профилактике инфекционных болезней"</w:t>
            </w:r>
          </w:p>
        </w:tc>
      </w:tr>
    </w:tbl>
    <w:p>
      <w:pPr>
        <w:widowControl w:val="0"/>
        <w:spacing w:after="279" w:line="1" w:lineRule="exact"/>
      </w:pP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Из системного толкования норм Закона о контрактной системе и Правил №145 следует, что заказчики при описании объекта закупки должны таким образом сформулировать требования к </w:t>
      </w:r>
      <w:r>
        <w:rPr>
          <w:color w:val="000000"/>
          <w:spacing w:val="0"/>
          <w:w w:val="100"/>
          <w:position w:val="0"/>
          <w:sz w:val="24"/>
          <w:szCs w:val="24"/>
          <w:shd w:val="clear" w:color="auto" w:fill="auto"/>
          <w:lang w:val="ru-RU" w:eastAsia="ru-RU" w:bidi="ru-RU"/>
        </w:rPr>
        <w:t>закупаемым товарам, работам, услугам, чтобы, с одной стороны, повысить шансы на приобретение товара именно с такими характеристиками, которые им необходимы объективно, а с другой стороны, не ограничить количество участников закупки.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Как установлено Комиссией, в качестве обоснования применения оспариваемых в жалобе дополнительных характеристик Заказчик указал СанПиН 3.3686-21 «Санитарно</w:t>
        <w:softHyphen/>
        <w:t>эпидемиологические требования по профилактике инфекционных болезней» (без ссылок на определенные его пункты).</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пункта 2 СанПиН 3.3686-21 санитарные правила устанавливают обязательные требования: к комплексу организационных, профилактических, в том числе лечебно</w:t>
        <w:softHyphen/>
        <w:t>профилактических, санитарно-противоэпидемических, лабораторно-диагностических мероприятий, направленных на обеспечение раннего выявления, предупреждения возникновения и распространения инфекционных болезней среди населения Российской Федерации; к организационным, санитарно-противоэпидемическим (профилактическим), инженерно</w:t>
        <w:softHyphen/>
        <w:t>техническим мероприятиям, направленным на обеспечение личной и общественной безопасности, защиту окружающей среды при работе с микроорганизмами, вирусами, белковоподобными инфекционными частицами (прионами), ядами биологического происхождения (токсинами) и иными биологическими агентами и т.д.</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 заседании Комиссии представитель Заказчика также сослался на пункты 642 и 4244 СанПиН 3.3686-21, содержащие информацию о соблюдении требований к безопасности при манипуляциях с медицинскими изделиями и обязанностях медицинских работников владеть безопасной техникой проведения инъекций и пр.</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Таким образом, требования СанПиН 3.3686-21 не содержат указаний на использование механизмов защиты шприца, в том числе установленных Заказчиком в дополнительных характеристиках товара (в виде дополнительного цилиндра или защитного колпачка), а лишь указывают на недопустимость повторного использования медицинских изделий однократного применения. Следовательно, исходя из положений СанПиН 3.3686-21 Комиссия Карельского УФАС России не считает указанное обоснование достаточным и надлежащим, поскольку приведенное Заказчиком обоснование носит формальный характер, и не содержит сведений, позволяющих определить объективную потребность Заказчика в той или иной дополнительной характеристике описанного Заказчиком товара.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Исходя из возражений Заказчика на жалобу, при установлении дополнительных характеристик, не предусмотренных соответствующими позициями КТРУ, Заказчик также руководствовался документами национальной системой стандартизации (ГОСТ 180 7886-2011, ГОСТ 180 7864-2011), которые не устанавливают конкретного механизма предотвращения повторного использования и не ограничивают Заказчика в описании существующих механизмов. Установив перечисленные в извещении характеристики, Заказчик фактически обозначил характеристики товара, потребность в которых обусловлена спецификой его деятельности, с целью предоставления потенциальным участникам более подробной информации о требуемом к поставке товаре.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считает необходимым отметить, что ГОСТ 180 7886-4-2011 «Шприцы с устройством, препятствующим их повторному применению» не содержит четких указаний на дополнительные характеристики, установленные в извещении, а лишь обозначает основные требования к шприцам и механизму предотвращения повторного использования, при этом не требуя наличия специфических конструктивных элементов, ограничивающих поставщиков.</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Кроме того, согласно письму Министерства финансов РФ от 23.11.2023 №24-03-09/112443 Правила №145 не устанавливают требований к форме и содержанию обоснования применения дополнительных характеристик товара, вместе с тем такое обоснование должно позволять </w:t>
      </w:r>
      <w:r>
        <w:rPr>
          <w:color w:val="000000"/>
          <w:spacing w:val="0"/>
          <w:w w:val="100"/>
          <w:position w:val="0"/>
          <w:sz w:val="24"/>
          <w:szCs w:val="24"/>
          <w:u w:val="single"/>
          <w:shd w:val="clear" w:color="auto" w:fill="auto"/>
          <w:lang w:val="ru-RU" w:eastAsia="ru-RU" w:bidi="ru-RU"/>
        </w:rPr>
        <w:t>определить необходимость использования вышеуказанных дополнительных информации и свойств</w:t>
      </w:r>
      <w:r>
        <w:rPr>
          <w:color w:val="000000"/>
          <w:spacing w:val="0"/>
          <w:w w:val="100"/>
          <w:position w:val="0"/>
          <w:sz w:val="24"/>
          <w:szCs w:val="24"/>
          <w:shd w:val="clear" w:color="auto" w:fill="auto"/>
          <w:lang w:val="ru-RU" w:eastAsia="ru-RU" w:bidi="ru-RU"/>
        </w:rPr>
        <w:t>, поскольку подлежит составлению именно для этого.</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Содержащееся по позициям №3, №4 Технического задания обоснование применения дополнительных характеристик фактически не является обоснованием необходимости использования таких характеристик, предусмотренным пунктом 6 Правил №145, поскольку в таких сведениях отсутствует указание на конкретные свойства характеристик, способствующие рабочему процессу лечебного учреждения (заказчика), которые в исключительном случае используются ГБУЗ «Медвежьегорская ЦРБ».</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связи с указанным Комиссия Карельского УФАС России отмечает, что произвольное установление Заказчиком требований к закупаемому товару является недопустимым, поскольку в том числе затрудняет доступ к участию в закупке и процесс подготовки документов для участия в закупке, а также может привести к установлению требований к закупаемому товару, ограничивающих количество участников закупки.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жалобе Заявитель, проведя анализ информации о шприцах общего назначения с механизмом безопасности, размещенной на официальном сайте Росздравнадзора, пришел к выводу, что характеристики требуемых к поставке шприцев по позиции №3 в совокупности с детализацией указанных дополнительных характеристик, не предусмотренных используемыми Заказчиком позициями КТРУ, соответствуют единственному производителю - Фогт Медикал Фертриб ГмбХ (РУ от 16.02.2017 №РЗН 2016/3938), производитель Германия; характеристики шприцев по позиции №4 - ООО «Парамед Консалтинг» (РУ от 08.09.2022 №РЗН 2022/18223), производитель Китай.</w:t>
      </w:r>
    </w:p>
    <w:p>
      <w:pPr>
        <w:pStyle w:val="Style13"/>
        <w:keepNext w:val="0"/>
        <w:keepLines w:val="0"/>
        <w:widowControl w:val="0"/>
        <w:shd w:val="clear" w:color="auto" w:fill="auto"/>
        <w:bidi w:val="0"/>
        <w:spacing w:before="0" w:after="260" w:line="240" w:lineRule="auto"/>
        <w:ind w:left="0" w:right="0" w:firstLine="600"/>
        <w:jc w:val="both"/>
      </w:pPr>
      <w:r>
        <w:rPr>
          <w:color w:val="000000"/>
          <w:spacing w:val="0"/>
          <w:w w:val="100"/>
          <w:position w:val="0"/>
          <w:sz w:val="24"/>
          <w:szCs w:val="24"/>
          <w:shd w:val="clear" w:color="auto" w:fill="auto"/>
          <w:lang w:val="ru-RU" w:eastAsia="ru-RU" w:bidi="ru-RU"/>
        </w:rPr>
        <w:t>В материалы дела представителем ГБУЗ «Медвежьегорской ЦРБ» представлена, в том числе таблица производителей шприцев, характеристики которых, по мнению Заказчика, соответствуют дополнительным характеристикам, указанным в Техническом задании:</w:t>
      </w:r>
    </w:p>
    <w:tbl>
      <w:tblPr>
        <w:tblOverlap w:val="never"/>
        <w:jc w:val="center"/>
        <w:tblLayout w:type="fixed"/>
      </w:tblPr>
      <w:tblGrid>
        <w:gridCol w:w="571"/>
        <w:gridCol w:w="4805"/>
        <w:gridCol w:w="2458"/>
        <w:gridCol w:w="2952"/>
      </w:tblGrid>
      <w:tr>
        <w:trPr>
          <w:trHeight w:val="480" w:hRule="exact"/>
        </w:trPr>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 п/п</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Обжалуемая характеристика</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 регистрационного удостоверения</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Наименование производителя</w:t>
            </w:r>
          </w:p>
        </w:tc>
      </w:tr>
      <w:tr>
        <w:trPr>
          <w:trHeight w:val="696" w:hRule="exact"/>
        </w:trPr>
        <w:tc>
          <w:tcPr>
            <w:vMerge w:val="restart"/>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3</w:t>
            </w:r>
          </w:p>
        </w:tc>
        <w:tc>
          <w:tcPr>
            <w:vMerge w:val="restart"/>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Инженерная защита от случайного укола иглой - Дополнительный прозрачный цилиндр, расположенный поверх цилиндра шприца. После инъекции дополнительный цилиндр смещается в вверх, по направлению к игле, блокируется и безвозвратно фиксирует иглу внутри цилиндра</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от 16.02.2017</w:t>
            </w:r>
          </w:p>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 РЗН 2016/3938</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«Фогт Медикал Фертриб ГмбХ" , Германия (Модель 8Штд-8Ьеа1Ъ йаГе(у)</w:t>
            </w:r>
          </w:p>
        </w:tc>
      </w:tr>
      <w:tr>
        <w:trPr>
          <w:trHeight w:val="941"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от 08.09.2022</w:t>
            </w:r>
          </w:p>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 ФСЗ 2009/03803</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Уси Юйшоу Медикал Эплаенсиз Ко. Лтд, Китай (Фото представлены в возражениях)</w:t>
            </w:r>
          </w:p>
        </w:tc>
      </w:tr>
      <w:tr>
        <w:trPr>
          <w:trHeight w:val="46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от 20.02.2017</w:t>
            </w:r>
          </w:p>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 ФСЗ 2010/06982</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Цзянсу Чжиюй Медикал Инструмент Ко., Лтд.</w:t>
            </w:r>
          </w:p>
        </w:tc>
      </w:tr>
      <w:tr>
        <w:trPr>
          <w:trHeight w:val="70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от 28.09.2022</w:t>
            </w:r>
          </w:p>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 ФСЗ 2011/09382</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ЗЕДЖИАНГ ХУАФУ МЕДИКАЛ ЭКВИПМЕНТ КО, ЛТД.</w:t>
            </w:r>
          </w:p>
        </w:tc>
      </w:tr>
      <w:tr>
        <w:trPr>
          <w:trHeight w:val="475" w:hRule="exact"/>
        </w:trPr>
        <w:tc>
          <w:tcPr>
            <w:vMerge w:val="restart"/>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4</w:t>
            </w:r>
          </w:p>
        </w:tc>
        <w:tc>
          <w:tcPr>
            <w:vMerge w:val="restart"/>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Инженерная защита от случайного укола иглой - Интегрированный в канюлю иглы защитный колпачок, который надевается и безвозвратно фиксируется на игле без прикосновения к ней специалиста и возможности снятия ее с шприца.</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от 08.09.2022</w:t>
            </w:r>
          </w:p>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 РЗН 2022/18223</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ООО "Парамед Консалтинг", Россия, Китай</w:t>
            </w:r>
          </w:p>
        </w:tc>
      </w:tr>
      <w:tr>
        <w:trPr>
          <w:trHeight w:val="47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от 08.09.2022</w:t>
            </w:r>
          </w:p>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 ФСЗ 2009/03803</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Уси Юйшоу Медикал Эплаенсиз Ко. Лтд, Китай</w:t>
            </w:r>
          </w:p>
        </w:tc>
      </w:tr>
      <w:tr>
        <w:trPr>
          <w:trHeight w:val="475" w:hRule="exact"/>
        </w:trPr>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от 20.02.2017 №ФСЗ 2010/06982</w:t>
            </w:r>
          </w:p>
        </w:tc>
        <w:tc>
          <w:tcPr>
            <w:tcBorders>
              <w:top w:val="single" w:sz="4"/>
              <w:left w:val="single" w:sz="4"/>
              <w:bottom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"Цзянсу Чжиюй Медикал Инструмент Ко., Лтд." Китай</w:t>
            </w:r>
          </w:p>
        </w:tc>
      </w:tr>
    </w:tbl>
    <w:p>
      <w:pPr>
        <w:widowControl w:val="0"/>
        <w:spacing w:after="259" w:line="1" w:lineRule="exact"/>
      </w:pPr>
    </w:p>
    <w:p>
      <w:pPr>
        <w:pStyle w:val="Style13"/>
        <w:keepNext w:val="0"/>
        <w:keepLines w:val="0"/>
        <w:widowControl w:val="0"/>
        <w:shd w:val="clear" w:color="auto" w:fill="auto"/>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 xml:space="preserve">Изучив представленные на сайте Росздравнадзора вышеуказанные регистрационные удостоверения и инструкции к ним, Комиссия Карельского УФАС России ставит под сомнение довод Заказчика о наличии на рынке нескольких производителей аналогов медицинских изделий, совокупность характеристик которых соответствует Техническому заданию. Поскольку в регистрационных удостоверениях и инструкциях отсутствуют в частности информация об определенном виде инженерной защиты (дополнительный прозрачный цилиндр или интегрированный в канюлю иглы защитный колпачок), а также о наличии коннектора (Луер Слип или Луер Лок), в связи с чем установить соответствие товара потребностям Заказчика в полной мере </w:t>
      </w:r>
      <w:r>
        <w:rPr>
          <w:color w:val="000000"/>
          <w:spacing w:val="0"/>
          <w:w w:val="100"/>
          <w:position w:val="0"/>
          <w:sz w:val="24"/>
          <w:szCs w:val="24"/>
          <w:shd w:val="clear" w:color="auto" w:fill="auto"/>
          <w:lang w:val="ru-RU" w:eastAsia="ru-RU" w:bidi="ru-RU"/>
        </w:rPr>
        <w:t>не представляется возможным.</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При этом Комиссия критически относится к доводу Заказчика относительно того, что отсутствие данных в РУ и инструкции не означает, что товар не обладает требуемыми характеристиками, поскольку именно документы, размещенные в реестре медицинских изделий на сайте Росздравнадзора, являются официальными и юридически значимыми при определении комиссией Заказчика соответствия товара действующему законодательству и установленным в извещении требованиям.</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Таким образом, Заказчик, включив по позициям №3 и №4 детализирующие дополнительные требования, соответствующие товару единственных производителей, исключил возможность другим участникам аукциона предложить аналогичный товар по остальным товарным позициям (№ №1, 2, 5-8), для которых указание таких дополнительных характеристик не требуется.</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Помимо прочего, Комиссия отмечает, что согласно абзацу «а» пункта 2 Постановления №102 для целей осуществления закупок отдельных видов медицинских изделий заказчик отклоняет все заявки,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заявок, соответствующих требованиям, установленным в извещении об осуществлении закупки, документации о закупке, которые одновременно для заявок, содержащих предложения о поставке отдельных видов медицинских изделий, включенных в перечень № 1, </w:t>
      </w:r>
      <w:r>
        <w:rPr>
          <w:color w:val="000000"/>
          <w:spacing w:val="0"/>
          <w:w w:val="100"/>
          <w:position w:val="0"/>
          <w:sz w:val="24"/>
          <w:szCs w:val="24"/>
          <w:u w:val="single"/>
          <w:shd w:val="clear" w:color="auto" w:fill="auto"/>
          <w:lang w:val="ru-RU" w:eastAsia="ru-RU" w:bidi="ru-RU"/>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w:t>
      </w:r>
      <w:r>
        <w:rPr>
          <w:color w:val="000000"/>
          <w:spacing w:val="0"/>
          <w:w w:val="100"/>
          <w:position w:val="0"/>
          <w:sz w:val="24"/>
          <w:szCs w:val="24"/>
          <w:shd w:val="clear" w:color="auto" w:fill="auto"/>
          <w:lang w:val="ru-RU" w:eastAsia="ru-RU" w:bidi="ru-RU"/>
        </w:rPr>
        <w:t>; 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Закона о защите конкуренции, при сопоставлении этих заявок.</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Извещением №0306300033524000217 во исполнение требований статьи 14 Закона о контрактной системе Заказчиком установлены ограничения и условия допуска отдельных видов медицинских изделий в соответствии с Постановлением №102.</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 из представленного Заказчиком списка производителей шприцев, а также из содержащихся в заявках участников предложений следует, что ввиду установленных Заказчиком закрывающих позиций Технического задания №3 и №4 потенциальными поставщиками может быть предложен товар исключительно зарубежных производителей (Китай, Германия). Следовательно, участники закупки №0306300033524000217 лишены возможности подать заявку с предложением о поставке товара отечественного производства, в связи с чем условия допуска товаров иностранного производства не могут быть применены, положения Постановления №102 не будут реализованы. Доказательств наличия товаров Российского происхождения, подходящих под описание объекта закупки по позициям №3, №4 Технического задания, Заказчиком не представлено.</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Таким образом, довод Заявителя о включении в описание объекта закупки товарных позиций, производимых исключительно зарубежными компаниями, которое привело к невозможности при рассмотрении заявок участников применения Постановления №102, находит подтверждение.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 основании имеющихся документов и сведений, Комиссия Карельского УФАС России приходит к выводу, что в данном случае установленные Заказчиком избыточные требования к товару, без достаточного обоснования реальной потребности в применении именно таких видов инженерной защиты шприцев, при отсутствии доказательств возможности подачи заявок с предложением о поставке товара отечественного производства, привели к ограничению круга участников закупки (требованиям извещения соответствует единственная заявка участника аукциона) и невозможности применения Постановления №102.</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Таким образом, в действиях ГБУЗ «Медвежьегорская ЦРБ» установлено нарушение положений части 2 статьи 8, частей 1, 3 статьи 33, пункта 5 части 1 статьи 42 Закона о контрактной </w:t>
      </w:r>
      <w:r>
        <w:rPr>
          <w:color w:val="000000"/>
          <w:spacing w:val="0"/>
          <w:w w:val="100"/>
          <w:position w:val="0"/>
          <w:sz w:val="24"/>
          <w:szCs w:val="24"/>
          <w:shd w:val="clear" w:color="auto" w:fill="auto"/>
          <w:lang w:val="ru-RU" w:eastAsia="ru-RU" w:bidi="ru-RU"/>
        </w:rPr>
        <w:t>системе, Правил №145, в связи с чем Комиссия считает целесообразным выдачу Заказчику предписания об устранении выявленных нарушений путем аннулирования аукциона.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считает также необходимым отметить, что в составе жалобы Заявитель указывает на нарушение Заказчиком положений статьи 17 Закона о защите конкуренции. Вместе с тем, жалоба Заявителя на действия Заказчика, исходя из совокупного содержания, подана в Карельское УФАС России в порядке главы 6 Закона о контрактной системе и рассмотрена Комиссией Управления в соответствии с требованиями Закона о контрактной системе. Учитывая, что в рамках рассмотрения данной жалобы Комиссия не обладает полномочиями по рассмотрению жалоб и обращений в порядке, предусмотренном Законом о защите конкуренции, рассмотрение доводов жалобы в отношении нарушения статьи 17 Закона о защите конкуренции не может быть осуществлено.</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вышеизложенного и руководствуясь статьёй 106 Закона о контрактной системе, Комиссия Карельского УФАС России по контролю в сфере закупок для государственных и муниципальных нужд</w:t>
      </w:r>
    </w:p>
    <w:p>
      <w:pPr>
        <w:pStyle w:val="Style13"/>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z w:val="24"/>
          <w:szCs w:val="24"/>
          <w:shd w:val="clear" w:color="auto" w:fill="auto"/>
          <w:lang w:val="ru-RU" w:eastAsia="ru-RU" w:bidi="ru-RU"/>
        </w:rPr>
        <w:t>РЕШИЛА:</w:t>
      </w:r>
    </w:p>
    <w:p>
      <w:pPr>
        <w:pStyle w:val="Style13"/>
        <w:keepNext w:val="0"/>
        <w:keepLines w:val="0"/>
        <w:widowControl w:val="0"/>
        <w:numPr>
          <w:ilvl w:val="0"/>
          <w:numId w:val="3"/>
        </w:numPr>
        <w:shd w:val="clear" w:color="auto" w:fill="auto"/>
        <w:tabs>
          <w:tab w:pos="113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Признать жалобу ООО «СОФ «БАРО» на действия Заказчика - ГБУЗ «Медвежьегорская ЦРБ» при проведении электронного аукциона на поставку расходного материала для ГБУЗ «Медвежьегорская ЦРБ» (шприцы) (извещение №0306300033524000217) обоснованной.</w:t>
      </w:r>
    </w:p>
    <w:p>
      <w:pPr>
        <w:pStyle w:val="Style13"/>
        <w:keepNext w:val="0"/>
        <w:keepLines w:val="0"/>
        <w:widowControl w:val="0"/>
        <w:numPr>
          <w:ilvl w:val="0"/>
          <w:numId w:val="3"/>
        </w:numPr>
        <w:shd w:val="clear" w:color="auto" w:fill="auto"/>
        <w:tabs>
          <w:tab w:pos="113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действиях Заказчика установлены нарушения требований части 2 статьи 8, частей 1, 3 статьи 33, пункта 5 части 1 статьи 42 Закона о контрактной системе, Правил №145.</w:t>
      </w:r>
    </w:p>
    <w:p>
      <w:pPr>
        <w:pStyle w:val="Style13"/>
        <w:keepNext w:val="0"/>
        <w:keepLines w:val="0"/>
        <w:widowControl w:val="0"/>
        <w:numPr>
          <w:ilvl w:val="0"/>
          <w:numId w:val="3"/>
        </w:numPr>
        <w:shd w:val="clear" w:color="auto" w:fill="auto"/>
        <w:tabs>
          <w:tab w:pos="113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Выдать Заказчику предписание об устранении выявленных нарушений путем аннулирования аукциона №0306300033524000217.</w:t>
      </w:r>
    </w:p>
    <w:p>
      <w:pPr>
        <w:pStyle w:val="Style13"/>
        <w:keepNext w:val="0"/>
        <w:keepLines w:val="0"/>
        <w:widowControl w:val="0"/>
        <w:numPr>
          <w:ilvl w:val="0"/>
          <w:numId w:val="3"/>
        </w:numPr>
        <w:shd w:val="clear" w:color="auto" w:fill="auto"/>
        <w:tabs>
          <w:tab w:pos="1138" w:val="left"/>
        </w:tabs>
        <w:bidi w:val="0"/>
        <w:spacing w:before="0" w:after="260" w:line="240" w:lineRule="auto"/>
        <w:ind w:left="0" w:right="0" w:firstLine="580"/>
        <w:jc w:val="both"/>
      </w:pPr>
      <w:r>
        <w:rPr>
          <w:color w:val="000000"/>
          <w:spacing w:val="0"/>
          <w:w w:val="100"/>
          <w:position w:val="0"/>
          <w:sz w:val="24"/>
          <w:szCs w:val="24"/>
          <w:shd w:val="clear" w:color="auto" w:fill="auto"/>
          <w:lang w:val="ru-RU" w:eastAsia="ru-RU" w:bidi="ru-RU"/>
        </w:rPr>
        <w:t>Передать материалы рассмотрения жалобы ООО «СОФ «БАРО» должностному лицу Карельского УФАС России для решения вопроса о возбуждении дела об административном правонарушении.</w:t>
      </w:r>
    </w:p>
    <w:p>
      <w:pPr>
        <w:pStyle w:val="Style13"/>
        <w:keepNext w:val="0"/>
        <w:keepLines w:val="0"/>
        <w:widowControl w:val="0"/>
        <w:shd w:val="clear" w:color="auto" w:fill="auto"/>
        <w:bidi w:val="0"/>
        <w:spacing w:before="0" w:after="260" w:line="240" w:lineRule="auto"/>
        <w:ind w:left="0" w:right="0" w:firstLine="0"/>
        <w:jc w:val="center"/>
        <w:rPr>
          <w:sz w:val="22"/>
          <w:szCs w:val="22"/>
        </w:rPr>
      </w:pPr>
      <w:r>
        <w:rPr>
          <w:i/>
          <w:iCs/>
          <w:color w:val="000000"/>
          <w:spacing w:val="0"/>
          <w:w w:val="100"/>
          <w:position w:val="0"/>
          <w:sz w:val="22"/>
          <w:szCs w:val="22"/>
          <w:shd w:val="clear" w:color="auto" w:fill="auto"/>
          <w:lang w:val="ru-RU" w:eastAsia="ru-RU" w:bidi="ru-RU"/>
        </w:rPr>
        <w:t>Настоящее решение может быть обжаловано в Арбитражном суде Республики Карелия</w:t>
        <w:br/>
        <w:t>в течение 3-х месяцев с момента его принятия</w:t>
      </w:r>
    </w:p>
    <w:p>
      <w:pPr>
        <w:pStyle w:val="Style13"/>
        <w:keepNext w:val="0"/>
        <w:keepLines w:val="0"/>
        <w:widowControl w:val="0"/>
        <w:shd w:val="clear" w:color="auto" w:fill="auto"/>
        <w:tabs>
          <w:tab w:pos="7718" w:val="left"/>
          <w:tab w:leader="underscore" w:pos="9105" w:val="left"/>
        </w:tabs>
        <w:bidi w:val="0"/>
        <w:spacing w:before="0" w:after="260" w:line="240" w:lineRule="auto"/>
        <w:ind w:left="0" w:right="0" w:firstLine="580"/>
        <w:jc w:val="both"/>
      </w:pPr>
      <w:r>
        <w:rPr>
          <w:color w:val="000000"/>
          <w:spacing w:val="0"/>
          <w:w w:val="100"/>
          <w:position w:val="0"/>
          <w:sz w:val="24"/>
          <w:szCs w:val="24"/>
          <w:shd w:val="clear" w:color="auto" w:fill="auto"/>
          <w:lang w:val="ru-RU" w:eastAsia="ru-RU" w:bidi="ru-RU"/>
        </w:rPr>
        <w:t>Председатель Комиссии</w:t>
        <w:tab/>
        <w:tab/>
        <w:t>Г.А. Грущакова</w:t>
      </w:r>
    </w:p>
    <w:p>
      <w:pPr>
        <w:pStyle w:val="Style13"/>
        <w:keepNext w:val="0"/>
        <w:keepLines w:val="0"/>
        <w:widowControl w:val="0"/>
        <w:shd w:val="clear" w:color="auto" w:fill="auto"/>
        <w:tabs>
          <w:tab w:pos="7718" w:val="left"/>
          <w:tab w:leader="underscore" w:pos="9105" w:val="left"/>
        </w:tabs>
        <w:bidi w:val="0"/>
        <w:spacing w:before="0" w:after="260" w:line="240" w:lineRule="auto"/>
        <w:ind w:left="0" w:right="0" w:firstLine="580"/>
        <w:jc w:val="both"/>
      </w:pPr>
      <w:r>
        <w:rPr>
          <w:color w:val="000000"/>
          <w:spacing w:val="0"/>
          <w:w w:val="100"/>
          <w:position w:val="0"/>
          <w:sz w:val="24"/>
          <w:szCs w:val="24"/>
          <w:shd w:val="clear" w:color="auto" w:fill="auto"/>
          <w:lang w:val="ru-RU" w:eastAsia="ru-RU" w:bidi="ru-RU"/>
        </w:rPr>
        <w:t>Члены комиссии</w:t>
        <w:tab/>
        <w:tab/>
        <w:t>М.С. Суханов</w:t>
      </w:r>
    </w:p>
    <w:p>
      <w:pPr>
        <w:pStyle w:val="Style13"/>
        <w:keepNext w:val="0"/>
        <w:keepLines w:val="0"/>
        <w:widowControl w:val="0"/>
        <w:shd w:val="clear" w:color="auto" w:fill="auto"/>
        <w:tabs>
          <w:tab w:leader="underscore" w:pos="1507" w:val="left"/>
        </w:tabs>
        <w:bidi w:val="0"/>
        <w:spacing w:before="0" w:after="260" w:line="240" w:lineRule="auto"/>
        <w:ind w:left="0" w:right="0" w:firstLine="0"/>
        <w:jc w:val="right"/>
      </w:pPr>
      <w:r>
        <w:rPr>
          <w:color w:val="000000"/>
          <w:spacing w:val="0"/>
          <w:w w:val="100"/>
          <w:position w:val="0"/>
          <w:sz w:val="24"/>
          <w:szCs w:val="24"/>
          <w:shd w:val="clear" w:color="auto" w:fill="auto"/>
          <w:lang w:val="ru-RU" w:eastAsia="ru-RU" w:bidi="ru-RU"/>
        </w:rPr>
        <w:tab/>
        <w:t>О.В. Лайдинен</w:t>
      </w:r>
    </w:p>
    <w:sectPr>
      <w:footerReference w:type="default" r:id="rId10"/>
      <w:footnotePr>
        <w:pos w:val="pageBottom"/>
        <w:numFmt w:val="decimal"/>
        <w:numRestart w:val="continuous"/>
      </w:footnotePr>
      <w:pgSz w:w="11900" w:h="16840"/>
      <w:pgMar w:top="1039" w:right="534" w:bottom="1710" w:left="532" w:header="611"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36905" cy="100330"/>
              <wp:wrapNone/>
              <wp:docPr id="3" name="Shape 3"/>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2024-3391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776.20000000000005pt;width:50.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2024-3391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721995</wp:posOffset>
              </wp:positionH>
              <wp:positionV relativeFrom="page">
                <wp:posOffset>9671050</wp:posOffset>
              </wp:positionV>
              <wp:extent cx="636905" cy="100330"/>
              <wp:wrapNone/>
              <wp:docPr id="7" name="Shape 7"/>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2024-3391</w:t>
                          </w:r>
                        </w:p>
                      </w:txbxContent>
                    </wps:txbx>
                    <wps:bodyPr wrap="none" lIns="0" tIns="0" rIns="0" bIns="0">
                      <a:spAutoFit/>
                    </wps:bodyPr>
                  </wps:wsp>
                </a:graphicData>
              </a:graphic>
            </wp:anchor>
          </w:drawing>
        </mc:Choice>
        <mc:Fallback>
          <w:pict>
            <v:shape id="_x0000_s1033" type="#_x0000_t202" style="position:absolute;margin-left:56.850000000000001pt;margin-top:761.5pt;width:50.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2024-3391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460A2"/>
      <w:sz w:val="19"/>
      <w:szCs w:val="19"/>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bCs/>
      <w:i w:val="0"/>
      <w:iCs w:val="0"/>
      <w:smallCaps w:val="0"/>
      <w:strike w:val="0"/>
      <w:color w:val="4460A2"/>
      <w:sz w:val="20"/>
      <w:szCs w:val="20"/>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7">
    <w:name w:val="Заголовок №1_"/>
    <w:basedOn w:val="DefaultParagraphFont"/>
    <w:link w:val="Style16"/>
    <w:rPr>
      <w:rFonts w:ascii="Times New Roman" w:eastAsia="Times New Roman" w:hAnsi="Times New Roman" w:cs="Times New Roman"/>
      <w:b/>
      <w:bCs/>
      <w:i w:val="0"/>
      <w:iCs w:val="0"/>
      <w:smallCaps w:val="0"/>
      <w:strike w:val="0"/>
      <w:u w:val="none"/>
    </w:rPr>
  </w:style>
  <w:style w:type="character" w:customStyle="1" w:styleId="CharStyle19">
    <w:name w:val="Основной текст (4)_"/>
    <w:basedOn w:val="DefaultParagraphFont"/>
    <w:link w:val="Style18"/>
    <w:rPr>
      <w:rFonts w:ascii="Arial" w:eastAsia="Arial" w:hAnsi="Arial" w:cs="Arial"/>
      <w:b w:val="0"/>
      <w:bCs w:val="0"/>
      <w:i w:val="0"/>
      <w:iCs w:val="0"/>
      <w:smallCaps w:val="0"/>
      <w:strike w:val="0"/>
      <w:sz w:val="38"/>
      <w:szCs w:val="38"/>
      <w:u w:val="none"/>
    </w:rPr>
  </w:style>
  <w:style w:type="character" w:customStyle="1" w:styleId="CharStyle23">
    <w:name w:val="Другое_"/>
    <w:basedOn w:val="DefaultParagraphFont"/>
    <w:link w:val="Style22"/>
    <w:rPr>
      <w:rFonts w:ascii="Times New Roman" w:eastAsia="Times New Roman" w:hAnsi="Times New Roman" w:cs="Times New Roman"/>
      <w:b w:val="0"/>
      <w:bCs w:val="0"/>
      <w:i w:val="0"/>
      <w:iCs w:val="0"/>
      <w:smallCaps w:val="0"/>
      <w:strike w:val="0"/>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70" w:line="264"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8">
    <w:name w:val="Основной текст (3)"/>
    <w:basedOn w:val="Normal"/>
    <w:link w:val="CharStyle9"/>
    <w:pPr>
      <w:widowControl w:val="0"/>
      <w:shd w:val="clear" w:color="auto" w:fill="auto"/>
      <w:spacing w:line="254" w:lineRule="auto"/>
      <w:jc w:val="center"/>
    </w:pPr>
    <w:rPr>
      <w:rFonts w:ascii="Times New Roman" w:eastAsia="Times New Roman" w:hAnsi="Times New Roman" w:cs="Times New Roman"/>
      <w:b/>
      <w:bCs/>
      <w:i w:val="0"/>
      <w:iCs w:val="0"/>
      <w:smallCaps w:val="0"/>
      <w:strike w:val="0"/>
      <w:color w:val="4460A2"/>
      <w:sz w:val="19"/>
      <w:szCs w:val="19"/>
      <w:u w:val="none"/>
    </w:rPr>
  </w:style>
  <w:style w:type="paragraph" w:customStyle="1" w:styleId="Style11">
    <w:name w:val="Подпись к картинке"/>
    <w:basedOn w:val="Normal"/>
    <w:link w:val="CharStyle12"/>
    <w:pPr>
      <w:widowControl w:val="0"/>
      <w:shd w:val="clear" w:color="auto" w:fill="auto"/>
      <w:spacing w:line="226" w:lineRule="auto"/>
    </w:pPr>
    <w:rPr>
      <w:rFonts w:ascii="Times New Roman" w:eastAsia="Times New Roman" w:hAnsi="Times New Roman" w:cs="Times New Roman"/>
      <w:b/>
      <w:bCs/>
      <w:i w:val="0"/>
      <w:iCs w:val="0"/>
      <w:smallCaps w:val="0"/>
      <w:strike w:val="0"/>
      <w:color w:val="4460A2"/>
      <w:sz w:val="20"/>
      <w:szCs w:val="20"/>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6">
    <w:name w:val="Заголовок №1"/>
    <w:basedOn w:val="Normal"/>
    <w:link w:val="CharStyle17"/>
    <w:pPr>
      <w:widowControl w:val="0"/>
      <w:shd w:val="clear" w:color="auto" w:fill="auto"/>
      <w:spacing w:after="130"/>
      <w:jc w:val="center"/>
      <w:outlineLvl w:val="0"/>
    </w:pPr>
    <w:rPr>
      <w:rFonts w:ascii="Times New Roman" w:eastAsia="Times New Roman" w:hAnsi="Times New Roman" w:cs="Times New Roman"/>
      <w:b/>
      <w:bCs/>
      <w:i w:val="0"/>
      <w:iCs w:val="0"/>
      <w:smallCaps w:val="0"/>
      <w:strike w:val="0"/>
      <w:u w:val="none"/>
    </w:rPr>
  </w:style>
  <w:style w:type="paragraph" w:customStyle="1" w:styleId="Style18">
    <w:name w:val="Основной текст (4)"/>
    <w:basedOn w:val="Normal"/>
    <w:link w:val="CharStyle19"/>
    <w:pPr>
      <w:widowControl w:val="0"/>
      <w:shd w:val="clear" w:color="auto" w:fill="auto"/>
      <w:spacing w:after="260"/>
      <w:ind w:firstLine="540"/>
    </w:pPr>
    <w:rPr>
      <w:rFonts w:ascii="Arial" w:eastAsia="Arial" w:hAnsi="Arial" w:cs="Arial"/>
      <w:b w:val="0"/>
      <w:bCs w:val="0"/>
      <w:i w:val="0"/>
      <w:iCs w:val="0"/>
      <w:smallCaps w:val="0"/>
      <w:strike w:val="0"/>
      <w:sz w:val="38"/>
      <w:szCs w:val="38"/>
      <w:u w:val="none"/>
    </w:rPr>
  </w:style>
  <w:style w:type="paragraph" w:customStyle="1" w:styleId="Style22">
    <w:name w:val="Другое"/>
    <w:basedOn w:val="Normal"/>
    <w:link w:val="CharStyle2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