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476199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76199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76199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Федеральной антимонопольной службы</w:t>
        <w:br/>
        <w:t>по Липецкой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  <w:rPr>
          <w:sz w:val="16"/>
          <w:szCs w:val="16"/>
        </w:rPr>
      </w:pPr>
      <w:r>
        <w:rPr>
          <w:color w:val="476199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пл. Плеханова, 1, г. Липецк, 398050</w:t>
        <w:br/>
        <w:t>телефакс (4742) 27-14-82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  <w:rPr>
          <w:sz w:val="16"/>
          <w:szCs w:val="16"/>
        </w:rPr>
      </w:pPr>
      <w:r>
        <w:rPr>
          <w:color w:val="476199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е-таП: 1о48@Газ. §оу.ги 11йр://11ре1бк.Га8.доу.ги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838" w:val="left"/>
        </w:tabs>
        <w:bidi w:val="0"/>
        <w:spacing w:before="0" w:after="320" w:line="240" w:lineRule="auto"/>
        <w:ind w:left="0" w:right="0" w:firstLine="0"/>
        <w:jc w:val="center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1,10.2024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ИП/6162/2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8"/>
          <w:szCs w:val="18"/>
        </w:rPr>
      </w:pPr>
      <w:r>
        <w:rPr>
          <w:color w:val="476199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"Альтернативная энергетика" акепа4 8 @уап4ех.ш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Данковского муниципального района Липецкой области РФ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ееопот1с66749@та4 ,ги,4апкоу @а4т1г. Нр е1§к.ги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Муниципальное казенное учреждение Данковского муниципального района Липецкой области "Центр финансовых компетенций"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632" w:bottom="1221" w:left="1140" w:header="0" w:footer="3" w:gutter="0"/>
          <w:pgNumType w:start="1"/>
          <w:cols w:num="2" w:space="720" w:equalWidth="0">
            <w:col w:w="4224" w:space="1042"/>
            <w:col w:w="486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ткус!к2021 @та4.ш</w:t>
      </w:r>
    </w:p>
    <w:p>
      <w:pPr>
        <w:widowControl w:val="0"/>
        <w:spacing w:before="93" w:after="9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1" w:right="0" w:bottom="122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№048/06/106-859/2024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77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 сентября 2024 года</w:t>
        <w:tab/>
        <w:t>город Липецк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объявлена 26.09.2024 года.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в полном объеме изготовлено 27.09.2024 года.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И.В. Поткина — руководитель управления,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 Т.Н. Ролдугина - начальник отдела контроля закупок и торгов,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Комиссии: Т.С. Рябкова — заместитель начальника отдела контроля закупок и торгов,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посредством видеоконференцсвязи представителей: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администрации Данковского муниципального района Липецкой области: Фонякиной Л.А. (по доверенности), Паршиной М.А. (по доверенности),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МКУ «Центр финансовых компетенций» Данковского муниципального района Липецкой области: Дегтеревой И.В. (по доверенности),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«Альтернативная энергетика» на положения извещения о проведении электронного аукциона на выполнение работ по ремонту дороги по ул. Запрудная в с. Яхонтово, Данковского района, Липецкой области (реестровый номер 0846600000324000158) (далее - электронный аукцион),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Липецкое УФАС России, посредством ЕИС, поступила жалоба ООО «Альтернативная энергетика» (далее- заявитель) на положения извещения о проведении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  <w:rPr>
          <w:sz w:val="36"/>
          <w:szCs w:val="36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ru-RU" w:eastAsia="ru-RU" w:bidi="ru-RU"/>
        </w:rPr>
        <w:t>111111111111111111111111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электронного аукциона (заказчик- администрация Данковского муниципального района Липецкой области, уполномоченное учреждение- МКУ «Центр финансовых компетенций» Данковского муниципального района Липецкой области).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подготовлена в соответствии с требованиями статьи 105 Федерального закона от 05.04.2013 №44-ФЗ "О контрактной системе в сфере закупок товаров, работ, услуг для обеспечения государственных и муниципальных нужд" (далее также- Закон о контрактной системе) и подана в срок, установленный частью 4 статьи 105 Закона о контрактной системе. В связи с этим, жалоба была принята Липецким УФАС России к рассмотрению.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времени и месте рассмотрения жалобы размещены Липецким УФАС России в ЕИС.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осуществлялось в отсутствие представителей заявителя.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следует из доводов жалобы заявителя, заказчиком, в нарушение требований постановления Правительства РФ от 08.04.2023 Х572 "Об утверждении типовых условий контрактов на выполнение работ по ремонту автомобильных дорог, искусственных дорожных сооружений" (далее- Постановление №572), не были применены типовые условия контракта.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Присутствующие на рассмотрении жалобы представители заказчика с доводом жалобы заявителя не согласны, представили письменные возражения.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Представителем уполномоченного учреждения было представлено письменное мнение на жалобу.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 приложенные к ней материалы, а также другие документы (копии), представленные сторонами, выслушав мнение представителей сторон, проведя внеплановую проверку на основании Приказа Липецкого УФАС России, Комиссия Липецкого УФАС России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электронного аукциона на выполнение работ по ремонту дороги по ул. Запрудная в с. Яхонтово, Данковского района, Липецкой области (реестровый номер 0846600000324000158) с приложениями размещено 12.09.2024 в ЕИС.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срока подачи заявок - 20.09.2024 09:00,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проведения процедуры подачи предложений о цене контракта - 20.09.2024,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 - 23.09.2024.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составляет 820 272,37 руб.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Объектом закупки является выполнение работ по ремонту дороги по ул. Запрудная в с. Яхонтово, Данковского района, Липецкой области.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ч.2 ст.42 Закона о контрактной системе, извещение об осуществлении закупки, если иное не предусмотрено настоящим Федеральным законом, должно содержать проект контракта.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ч.1 ст.34 Закона о контрактной системе,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заявка не предусмотрены.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ч.2 ст.34 Закона о контрактной системе, при заключении контракта указывается, что цена контракта является твердой и определяется на весь срок исполнения контракта, а в случае, предусмотренном частью 24 статьи 22 настоящего Федерального закона, указываются цены единиц товара, работы, услуги и максимальное значение цены контракта, а также в случаях, установленных Правительством Российской Федерации, указываются ориентировочное значение цены контракта либо формула цены и максимальное значение цены контракта, установленные заказчиком в извещении об осуществлении закупки, документации о закупке (в случае, если настоящим Федеральным законом предусмотрена документация о закупке). При заключении и исполнении контракта изменение его существенных условий не допускается, за исключением случаев, предусмотренных настоящим Федеральным законом. В случае, если проектом контракта предусмотрены отдельные этапы его исполнения, цена каждого этапа устанавливается в размере, сниженном пропорционально снижению начальной (максимальной) цены контракта участником закупки, с которым заключается контракт.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Более того, согласно ч.11 ст.34 Закона о контрактной системе, правительство Российской Федерации вправе установить типовые условия контрактов, подлежащие применению заказчиками при осуществлении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Постановлением №72 утверждены типовые условия контрактов на выполнение работ по ремонту автомобильных дорог, искусственных дорожных сооружений.</w:t>
      </w:r>
    </w:p>
    <w:p>
      <w:pPr>
        <w:pStyle w:val="Style18"/>
        <w:keepNext/>
        <w:keepLines/>
        <w:widowControl w:val="0"/>
        <w:shd w:val="clear" w:color="auto" w:fill="auto"/>
        <w:tabs>
          <w:tab w:leader="underscore" w:pos="7723" w:val="left"/>
        </w:tabs>
        <w:bidi w:val="0"/>
        <w:spacing w:before="0" w:after="0" w:line="240" w:lineRule="auto"/>
        <w:ind w:left="0" w:right="0" w:firstLine="58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этом, в частности, в пункте 49 типовых условий контрактов на выполнение работ по ремонту автомобильных дорог, искусственных дорожных сооружений установлено, что цена контракта (цена работ) составляет </w:t>
        <w:tab/>
        <w:t xml:space="preserve"> рублей __ копеек с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833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учетом налога на добавленную стоимость по налоговой ставке </w:t>
        <w:tab/>
        <w:t xml:space="preserve"> процентов, а в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случае если контракт заключается с лицами, не являющимися в соответствии с законодательством Российской Федерации о налогах и сборах плательщиками налога на добавленную стоимость, цена контракта налогом на добавленную стоимость не облагается.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leader="underscore" w:pos="229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Липецкого УФАС России, изучив проект контракта, являющийся приложением к извещению о проведении рассматриваемой закупки, в числе прочего установила, что п.2.1 содержит следующее условие: «Цена Контракта (цена работ) определяется локальным сметным расчетом (Приложение №3 к Контракту) и составляет: </w:t>
        <w:tab/>
        <w:t xml:space="preserve"> рублей ___ копеек, в т.ч. НДС», не соответствующее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вышеупомянутому пункту 49 типовых условий контрактов.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проект контракта не содержит типовых условий, утвержденных Постановлением Х572.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Липецкого УФАС России приходит к выводу, что действия заказчика/уполномоченного учреждения, не включившего в проект контракта утвержденные типовые условия, являются нарушением части 11 статьи 34, пункта 5 части 2 статьи 42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Установленные нарушения части 11 статьи 34, пункта 5 части 2 статьи 42 Закона о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контрактной системе содержат признаки совершения административного правонарушения, предусмотренного ч.1.4 ст.7.30 Кодекса Российской Федерации об административных правонарушениях.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/>
        <w:ind w:left="0" w:right="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</w:t>
      </w:r>
      <w:r>
        <w:fldChar w:fldCharType="begin"/>
      </w:r>
      <w:r>
        <w:rPr/>
        <w:instrText> HYPERLINK "https://zakupki.gov.ru/epz/order/notice/ea20/view/protocol/protocol-main-info.html?regNumber=0846600000324000157&amp;protocolId=46291411"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ротоколу подведения итогов определения поставщика (подрядчика,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"https://zakupki.gov.ru/epz/order/notice/ea20/view/protocol/protocol-main-info.html?regNumber=0846600000324000157&amp;protocolId=46291411"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исполнителя) от 23.09.2024 №ИЭА1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участие в закупке от участников поступило 4 заявки, которые были признаны соответствующими извещению о проведении рассматриваемого электронного аукциона.</w:t>
      </w:r>
      <w:bookmarkEnd w:id="6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ст.99, ст.105, ст.106 Закона о контрактной системе, Комиссия Липецкого УФАС России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52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10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«Альтернативная энергетика» на положения извещения о проведении электронного аукциона на выполнение работ по ремонту дороги по ул. Запрудная в с. Яхонтово, Данковского района, Липецкой области (реестровый номер 0846600000324000158) обоснованной.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10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заказчика/уполномоченного учреждения установлены нарушения части 11 статьи 34, пункта 5 части 2 статьи 42 Закона о контрактной системе.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0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предписание об устранении выявленных нарушений.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10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жалобы должностному лицу Липецкого УФАС России для рассмотрения вопроса о возбуждении административного производства.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арбитражный суд в течение трех месяцев со дня его вынесения.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1" w:right="539" w:bottom="1223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210185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114300</wp:posOffset>
                </wp:positionV>
                <wp:extent cx="1837690" cy="24384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769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200000000000003pt;margin-top:9.pt;width:144.70000000000002pt;height:19.199999999999999pt;z-index:-125829375;mso-wrap-distance-left:0;mso-wrap-distance-top:9.pt;mso-wrap-distance-right:0;mso-wrap-distance-bottom:16.5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5740" distB="0" distL="0" distR="1807210" simplePos="0" relativeHeight="125829380" behindDoc="0" locked="0" layoutInCell="1" allowOverlap="1">
            <wp:simplePos x="0" y="0"/>
            <wp:positionH relativeFrom="page">
              <wp:posOffset>2842260</wp:posOffset>
            </wp:positionH>
            <wp:positionV relativeFrom="paragraph">
              <wp:posOffset>205740</wp:posOffset>
            </wp:positionV>
            <wp:extent cx="311150" cy="36576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3235325</wp:posOffset>
                </wp:positionH>
                <wp:positionV relativeFrom="paragraph">
                  <wp:posOffset>275590</wp:posOffset>
                </wp:positionV>
                <wp:extent cx="1725295" cy="25590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54.75pt;margin-top:21.69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210185" distL="0" distR="0" simplePos="0" relativeHeight="125829381" behindDoc="0" locked="0" layoutInCell="1" allowOverlap="1">
                <wp:simplePos x="0" y="0"/>
                <wp:positionH relativeFrom="page">
                  <wp:posOffset>6167755</wp:posOffset>
                </wp:positionH>
                <wp:positionV relativeFrom="paragraph">
                  <wp:posOffset>114300</wp:posOffset>
                </wp:positionV>
                <wp:extent cx="1024255" cy="24384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И.В. Поткина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85.65000000000003pt;margin-top:9.pt;width:80.650000000000006pt;height:19.199999999999999pt;z-index:-125829372;mso-wrap-distance-left:0;mso-wrap-distance-top:9.pt;mso-wrap-distance-right:0;mso-wrap-distance-bottom:16.5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И.В. Поткина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73025" distB="0" distL="114300" distR="4134485" simplePos="0" relativeHeight="125829383" behindDoc="0" locked="0" layoutInCell="1" allowOverlap="1">
            <wp:simplePos x="0" y="0"/>
            <wp:positionH relativeFrom="page">
              <wp:posOffset>2820670</wp:posOffset>
            </wp:positionH>
            <wp:positionV relativeFrom="paragraph">
              <wp:posOffset>655320</wp:posOffset>
            </wp:positionV>
            <wp:extent cx="353695" cy="536575"/>
            <wp:wrapSquare wrapText="lef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3281045</wp:posOffset>
                </wp:positionH>
                <wp:positionV relativeFrom="paragraph">
                  <wp:posOffset>1057910</wp:posOffset>
                </wp:positionV>
                <wp:extent cx="1276985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5E5E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5E5E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58.35000000000002pt;margin-top:83.299999999999997pt;width:100.5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E5E5E5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rFonts w:ascii="Georgia" w:eastAsia="Georgia" w:hAnsi="Georgia" w:cs="Georgia"/>
                          <w:color w:val="E5E5E5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3235325</wp:posOffset>
                </wp:positionH>
                <wp:positionV relativeFrom="paragraph">
                  <wp:posOffset>743585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54.75pt;margin-top:58.550000000000004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62585" distL="3351530" distR="113665" simplePos="0" relativeHeight="125829384" behindDoc="0" locked="0" layoutInCell="1" allowOverlap="1">
                <wp:simplePos x="0" y="0"/>
                <wp:positionH relativeFrom="page">
                  <wp:posOffset>6057900</wp:posOffset>
                </wp:positionH>
                <wp:positionV relativeFrom="paragraph">
                  <wp:posOffset>582295</wp:posOffset>
                </wp:positionV>
                <wp:extent cx="1134110" cy="243840"/>
                <wp:wrapSquare wrapText="lef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Т.Н. Ролдугина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7.pt;margin-top:45.850000000000001pt;width:89.299999999999997pt;height:19.199999999999999pt;z-index:-125829369;mso-wrap-distance-left:263.89999999999998pt;mso-wrap-distance-right:8.9500000000000011pt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Т.Н. Ролдугина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167640" distL="114300" distR="5360035" simplePos="0" relativeHeight="125829386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1639570</wp:posOffset>
                </wp:positionV>
                <wp:extent cx="1207135" cy="24384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713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8.200000000000003pt;margin-top:129.09999999999999pt;width:95.049999999999997pt;height:19.199999999999999pt;z-index:-125829367;mso-wrap-distance-left:9.pt;mso-wrap-distance-top:5.pt;mso-wrap-distance-right:422.05000000000001pt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9075" distB="0" distL="2610485" distR="2345690" simplePos="0" relativeHeight="125829388" behindDoc="0" locked="0" layoutInCell="1" allowOverlap="1">
                <wp:simplePos x="0" y="0"/>
                <wp:positionH relativeFrom="page">
                  <wp:posOffset>3235325</wp:posOffset>
                </wp:positionH>
                <wp:positionV relativeFrom="paragraph">
                  <wp:posOffset>1795145</wp:posOffset>
                </wp:positionV>
                <wp:extent cx="1725295" cy="25590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1F1F1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54.75pt;margin-top:141.34999999999999pt;width:135.84999999999999pt;height:20.150000000000002pt;z-index:-125829365;mso-wrap-distance-left:205.55000000000001pt;mso-wrap-distance-top:17.25pt;mso-wrap-distance-right:184.70000000000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1F1F1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167640" distL="5637530" distR="114300" simplePos="0" relativeHeight="125829390" behindDoc="0" locked="0" layoutInCell="1" allowOverlap="1">
                <wp:simplePos x="0" y="0"/>
                <wp:positionH relativeFrom="page">
                  <wp:posOffset>6262370</wp:posOffset>
                </wp:positionH>
                <wp:positionV relativeFrom="paragraph">
                  <wp:posOffset>1639570</wp:posOffset>
                </wp:positionV>
                <wp:extent cx="929640" cy="24384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964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Т.С. Рябкова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93.10000000000002pt;margin-top:129.09999999999999pt;width:73.200000000000003pt;height:19.199999999999999pt;z-index:-125829363;mso-wrap-distance-left:443.90000000000003pt;mso-wrap-distance-top:5.pt;mso-wrap-distance-right:9.pt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Т.С. Рябкова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Georgia" w:eastAsia="Georgia" w:hAnsi="Georgia" w:cs="Georgia"/>
          <w:color w:val="E5E5E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СВЕДЕНИЯ О </w:t>
      </w:r>
      <w:r>
        <w:rPr>
          <w:rFonts w:ascii="Georgia" w:eastAsia="Georgia" w:hAnsi="Georgia" w:cs="Georgia"/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СЕРТИФИКАТЕ </w:t>
      </w:r>
      <w:r>
        <w:rPr>
          <w:rFonts w:ascii="Georgia" w:eastAsia="Georgia" w:hAnsi="Georgia" w:cs="Georgia"/>
          <w:color w:val="E5E5E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6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F6F6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Поткина Ирина Владимировна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6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3F3F3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1F1F1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75ВВО61С51608АВЕ1АА67874Е2Е2Э9Е9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336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F6F6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3F3F3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6F6F6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03.10.2023 по 26.12.2024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6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F6F6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Ролдугина Татьяна Николаевна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6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3F3F3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3F3F3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610Е27024ВЕВ34А450198В5А4464784Е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6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F6F6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3F3F3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18.03.2024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6F6F6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11.06.2025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Fonts w:ascii="Georgia" w:eastAsia="Georgia" w:hAnsi="Georgia" w:cs="Georgia"/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6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6F6F6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Рябкова Татьяна Сергеевна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6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3F3F3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3F3F3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4РАС8ВЗА6В794913ВР30С1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Ю87С737Р2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336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6F6F6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3F3F3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19.03.2024 </w:t>
      </w:r>
      <w:r>
        <w:rPr>
          <w:rFonts w:ascii="Arial" w:eastAsia="Arial" w:hAnsi="Arial" w:cs="Arial"/>
          <w:color w:val="6F6F6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по 12.06.2025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354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2024-8320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50000000000001pt;margin-top:788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2024-8320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2024-8320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2024-8320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Подпись к картинке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1F1F"/>
      <w:sz w:val="12"/>
      <w:szCs w:val="12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Подпись к картинке"/>
    <w:basedOn w:val="Normal"/>
    <w:link w:val="CharStyle16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1F1F"/>
      <w:sz w:val="12"/>
      <w:szCs w:val="12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line="252" w:lineRule="auto"/>
      <w:ind w:firstLine="64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