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ИП/6164/2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"Альтернативная энергетика" акепа4 8 @уап4ех.ш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есоттисбб749@та4 ,ги,4апкоу @а4т1г. Нр е1§к.ги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197" w:left="1140" w:header="0" w:footer="3" w:gutter="0"/>
          <w:pgNumType w:start="1"/>
          <w:cols w:num="2" w:space="720" w:equalWidth="0">
            <w:col w:w="4224" w:space="1042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@та4.ш</w:t>
      </w:r>
    </w:p>
    <w:p>
      <w:pPr>
        <w:widowControl w:val="0"/>
        <w:spacing w:line="158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1" w:right="0" w:bottom="12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5636895</wp:posOffset>
                </wp:positionH>
                <wp:positionV relativeFrom="paragraph">
                  <wp:posOffset>177800</wp:posOffset>
                </wp:positionV>
                <wp:extent cx="1033145" cy="2406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3.85000000000002pt;margin-top:14.pt;width:81.350000000000009pt;height:18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№048/06/106-861/2024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26.09.2024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27.09.2024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Данковского муниципального района Липецкой области: Фонякиной Л.А. (по доверенности), Паршиной М.А. (по доверенности),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 Липецкой области: Дегтеревой И.В.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«Альтернативная энергетика» на положения извещения о проведении электронного аукциона на выполнение работ по ремонту дороги по пер. Школьный в с. Требунки, Данковского района, Липецкой области (реестровый номер 0846600000324000160) (далее - электронный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«Альтернативная энергетика» (далее- заявитель) на положения извещения о проведении электронного аукциона (заказчик- администрация Данковского муниципального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1111111111111111111111 </w:t>
      </w:r>
      <w:r>
        <w:rPr>
          <w:rStyle w:val="CharStyle15"/>
        </w:rPr>
        <w:t>района Липецкой области, уполномоченное учреждение- МКУ «Центр финансовых компетенций» Данковского муниципального района Липецкой области).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заявителя.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доводов жалобы заявителя, заказчиком, в нарушение требований постановления Правительства РФ от 08.04.2023 Х572 "Об утверждении типовых условий контрактов на выполнение работ по ремонту автомобильных дорог, искусственных дорожных сооружений" (далее- Постановление №572), не были применены типовые условия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Присутствующие на рассмотрении жалобы представители заказчика с доводом жалобы заявителя не согласны, представили письменные возражения.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Представителем уполномоченного учреждения было представлено письменное мнение на жалобу.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сторон,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выполнение работ по ремонту дороги по пер. Школьный в с. Требунки, Данковского района, Липецкой области (реестровый номер 0846600000324000160) с приложениями размещено 12.09.2024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- 20.09.2024 09:00,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- 20.09.2024,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- 23.09.2024.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541 107,19 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ремонту дороги по пер. Школьный в с. Требунки, Данковского района, Липецкой области.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ч.2 ст.42 Закона о контрактной системе, извещение об осуществлении закупки, если иное не предусмотрено настоящим Федеральным законом, должно содержать проект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ч.1 ст.34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частью 24 статьи 22 настоящего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ч.2 ст.34 Закона о контрактной системе, при заключении контракта указывается, что цена контракта является твердой и определяется на весь срок исполнения контракта, а в случае, предусмотренном частью 24 статьи 22 настоящего Федерального закона,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извещении об осуществлении закупки, документации о закупке (в случае, если настоящим Федеральным законом предусмотрена документация о закупке). При заключении и исполнении контракта изменение его существенных условий не допускается, за исключением случаев, предусмотренных настоящим Федеральным законом. В случае, если проектом контракта предусмотрены отдельные этапы его исполнения, цена каждого этапа устанавливается в размере, сниженном пропорционально снижению начальной (максимальной) цены контракта участником закупки, с которым заключается контракт.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согласно ч.11 ст.34 Закона о контрактной системе,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Постановлением №72 утверждены типовые условия контрактов на выполнение работ по ремонту автомобильных дорог, искусственных дорожных сооружений.</w:t>
      </w:r>
    </w:p>
    <w:p>
      <w:pPr>
        <w:pStyle w:val="Style21"/>
        <w:keepNext/>
        <w:keepLines/>
        <w:widowControl w:val="0"/>
        <w:shd w:val="clear" w:color="auto" w:fill="auto"/>
        <w:tabs>
          <w:tab w:leader="underscore" w:pos="7723" w:val="left"/>
        </w:tabs>
        <w:bidi w:val="0"/>
        <w:spacing w:before="0" w:after="0" w:line="240" w:lineRule="auto"/>
        <w:ind w:left="0" w:right="0" w:firstLine="58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в частности, в пункте 49 типовых условий контрактов на выполнение работ по ремонту автомобильных дорог, искусственных дорожных сооружений установлено, что цена контракта (цена работ) составляет </w:t>
        <w:tab/>
        <w:t xml:space="preserve"> рублей __ копеек с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tabs>
          <w:tab w:leader="underscore" w:pos="83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учетом налога на добавленную стоимость по налоговой ставке </w:t>
        <w:tab/>
        <w:t xml:space="preserve"> процентов, а 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 если контракт заключается с лицами, не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leader="underscore" w:pos="229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Липецкого УФАС России, изучив проект контракта, являющийся приложением к извещению о проведении рассматриваемой закупки, в числе прочего установила, что п.2.1 содержит следующее условие: «Цена Контракта (цена работ) определяется локальным сметным расчетом (Приложение №3 к Контракту) и составляет: </w:t>
        <w:tab/>
        <w:t xml:space="preserve"> рублей ___ копеек, в т.ч. НДС», не соответствующее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вышеупомянутому пункту 49 типовых условий контрактов.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проект контракта не содержит типовых условий, утвержденных Постановлением Х572.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Липецкого УФАС России приходит к выводу, что действия заказчика/уполномоченного учреждения, не включившего в проект контракта утвержденные типовые условия, являются нарушением части 11 статьи 34, пункта 5 части 2 статьи 42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нарушения части 11 статьи 34, пункта 5 части 2 статьи 42 Закона о контрактной системе содержат признаки совершения административного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правонарушения, предусмотренного ч.1.4 ст.7.30 Кодекса Российской Федерации об административных правонарушениях.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ротоколу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23.09.2024 №ИЭА1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от участников поступило 2 заявки, которые были признаны соответствующими извещению о проведении рассматриваемого электронного аукциона.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«Альтернативная энергетика» на положения извещения о проведении электронного аукциона на выполнение работ по ремонту дороги по пер. Школьный в с. Требунки, Данковского района, Липецкой области (реестровый номер 0846600000324000160) обоснованной.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заказчика/уполномоченного учреждения установлены нарушения части 11 статьи 34, пункта 5 части 2 статьи 42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выявленных нарушений.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1" w:right="539" w:bottom="122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72110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3769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9.pt;width:144.70000000000002pt;height:19.199999999999999pt;z-index:-125829373;mso-wrap-distance-left:0;mso-wrap-distance-top:9.pt;mso-wrap-distance-right:0;mso-wrap-distance-bottom:29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3675" distB="0" distL="0" distR="1789430" simplePos="0" relativeHeight="125829382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193675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596265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8.35000000000002pt;margin-top:46.9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285115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4.75pt;margin-top:22.4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72110" distL="0" distR="0" simplePos="0" relativeHeight="125829383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114300</wp:posOffset>
                </wp:positionV>
                <wp:extent cx="1024255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5.65000000000003pt;margin-top:9.pt;width:80.650000000000006pt;height:19.199999999999999pt;z-index:-125829370;mso-wrap-distance-left:0;mso-wrap-distance-top:9.pt;mso-wrap-distance-right:0;mso-wrap-distance-bottom:29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73025" distB="0" distL="114300" distR="4134485" simplePos="0" relativeHeight="125829385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493395</wp:posOffset>
            </wp:positionV>
            <wp:extent cx="353695" cy="536575"/>
            <wp:wrapSquare wrapText="lef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895985</wp:posOffset>
                </wp:positionV>
                <wp:extent cx="127698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8.35000000000002pt;margin-top:70.549999999999997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581660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4.75pt;margin-top:45.800000000000004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62585" distL="3351530" distR="113665" simplePos="0" relativeHeight="125829386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420370</wp:posOffset>
                </wp:positionV>
                <wp:extent cx="1134110" cy="243840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7.pt;margin-top:33.100000000000001pt;width:89.299999999999997pt;height:19.199999999999999pt;z-index:-125829367;mso-wrap-distance-left:263.89999999999998pt;mso-wrap-distance-right:8.950000000000001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114300" distR="5360035" simplePos="0" relativeHeight="12582938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1478280</wp:posOffset>
                </wp:positionV>
                <wp:extent cx="1207135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200000000000003pt;margin-top:116.40000000000001pt;width:95.049999999999997pt;height:19.199999999999999pt;z-index:-125829365;mso-wrap-distance-left:9.pt;mso-wrap-distance-top:5.pt;mso-wrap-distance-right:422.0500000000000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3350" distB="0" distL="2195830" distR="4135120" simplePos="0" relativeHeight="125829390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1548130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1950720</wp:posOffset>
                </wp:positionV>
                <wp:extent cx="127698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8.35000000000002pt;margin-top:153.59999999999999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1636395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54.75pt;margin-top:128.84999999999999pt;width:135.84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362585" distL="5637530" distR="114300" simplePos="0" relativeHeight="125829391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1478280</wp:posOffset>
                </wp:positionV>
                <wp:extent cx="929640" cy="24384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3.10000000000002pt;margin-top:116.40000000000001pt;width:73.200000000000003pt;height:19.199999999999999pt;z-index:-125829362;mso-wrap-distance-left:443.90000000000003pt;mso-wrap-distance-top:5.pt;mso-wrap-distance-right:9.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E5E5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75ВОО61С51608АВЕ1АА67874Е2Е2О9Е9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384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4ЕАС8ВЗА6В794913ВР30С1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Ю87С737Р2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19.03.2024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9980295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5.85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 (5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0">
    <w:name w:val="Основной текст (6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auto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ind w:firstLine="5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