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Волгоградской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7-я Гвардейская, д. 12, г. Волгоград, 400005</w:t>
        <w:br/>
        <w:t>тел. (8442) 24-22-65, факс (8442) 24-22-76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1о34@Га8.§оу.ги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978" w:val="left"/>
        </w:tabs>
        <w:bidi w:val="0"/>
        <w:spacing w:before="0" w:line="240" w:lineRule="auto"/>
        <w:ind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01,10.2024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 7969/24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486199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На№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наб. Тараса Шевченко, д. 23А, пом. 1, Москва, 121151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ко@г18-1епдег.ги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ГБУЗ "Михайловская центральная районная больница"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ул. Некрасова, д. 1Б, г. Михайловка, Волгоградская обл., 403343 с^Ъ_т^Ъау1оVка@Vо1дапе^.^и;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тих_сгЪ@тЪох.ги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ООО "Медицинское объединение "Отдел медицинской техники" ул. Белореченская, д. 22,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Екатеринбург, Свердловская область, 620102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84" w:right="954" w:bottom="1231" w:left="1139" w:header="0" w:footer="3" w:gutter="0"/>
          <w:pgNumType w:start="1"/>
          <w:cols w:num="2" w:space="720" w:equalWidth="0">
            <w:col w:w="4090" w:space="1176"/>
            <w:col w:w="4541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Мо@отСига1.ги</w:t>
      </w:r>
    </w:p>
    <w:p>
      <w:pPr>
        <w:widowControl w:val="0"/>
        <w:spacing w:line="130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85" w:right="0" w:bottom="83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034/06/105-1482/2024</w:t>
        <w:br/>
        <w:t>о нарушении законодательства о контрактной системе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5426710</wp:posOffset>
                </wp:positionH>
                <wp:positionV relativeFrom="paragraph">
                  <wp:posOffset>12700</wp:posOffset>
                </wp:positionV>
                <wp:extent cx="758825" cy="23495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882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Волгоград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27.30000000000001pt;margin-top:1.pt;width:59.75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Волгоград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 сентября 2024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Волгоградской области (далее - Волгоградское УФАС России, Управление) по контролю за соблюдением законодательства о контрактной системе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Литвинов Р.А. - председатель Комиссии, начальник отдела контроля государственных и муниципальных закупок, недобросовестной конкуренции и рекламы;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Моисеев С.В. - член Комиссии, заместитель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Джафаров Р.Ш. - член Комиссии, специалист 1 разряда отдела контроля государственных и муниципальных закупок, недобросовестной конкуренции и рекламы, осуществляя рассмотрение жалобы дистанционно (посредством видеоконференцсвязи), с участием: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Гусевой Н.Ю.- представителя ГБУЗ «Михайловская центральная районная больница» (далее - Заказчик), на основании доверенности № 11 от 09.01.2024,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Павловой Н.В. - представителя ООО «МО «Отдел медицинской техники» (далее - Заявитель) на основании доверенности № 10 от 24.09.2024,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Цыганкова Д.С. - представителя ООО «МО «Отдел медицинской техники» (далее - Заявитель) на основании доверенности № 10 от 24.09.2024,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Зуевой Е.Н. - представителя Комитета по регулированию контрактной системы в сфере закупок Волгоградской области (далее - Уполномоченный орган),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«МО «Отдел медицинской техники» вх. № 9912/24 от 19.09.2024 на действия комиссии по осуществлению закупок при проведении электронного аукциона «Поставка медицинских изделий - стол для реанимации новорожденных, ввод в эксплуатацию медицинских изделий, обучение правилам эксплуатации специалистов, эксплуатирующих медицинские изделия» (номер извещения 0129200005324002730),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официальном сайте \у\у\у./акирк1.доу.ги (далее - ЕИС) 10.09.2024 было размещено извещение о проведении запроса котировок в электронной форме «Поставка медицинских изделий - стол для реанимации новорожденных, ввод в эксплуатацию медицинских изделий, обучение правилам эксплуатации специалистов, эксплуатирующих медицинские изделия» (номер извещения 0129200005324002730, далее - извещение). Начальная (максимальная) цена контракта - 11 400 000,00 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Заявителя, комиссией по осуществлению закупок нарушены положения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ввиду установления Заказчиком излишних необоснованных требований к характеристикам товара, которые, по мнению Заявителя, в совокупности ведут к ограничению конкуренции.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установила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6 ст.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4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№ 145 (далее - Правила), заказчики обязаны применять информацию, включенную в позицию каталога в соответствии с пп. «б» - «г» и «е» - «з» п. 10 Правил. При этом заказчик обязан при осуществлении закупки использовать информацию, включенную в соответствующую позицию.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5 Правил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6 Правил установлено, что в случае предоставления дополнительной информации, предусмотренной пунктом 5 Правил, заказчик обязан включить в описание товара, работы, услуги обоснование необходимости использования такой информации.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поясняет Заявитель, Заказчиком установлены излишние требования, которые ограничивают конкуренцию, так как установленным характеристикам соответствует единственный реализуемый на рынке медицинских изделий товар - «Система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реанимационная открытая для новорожденных ОРС-ВОХО по АМНК.941549.001ТУ (ТУ 26.60.13-103-07539541-2017) производитель Швабе РЗН 2019/8181 (Россия)»:</w:t>
      </w:r>
    </w:p>
    <w:tbl>
      <w:tblPr>
        <w:tblOverlap w:val="never"/>
        <w:jc w:val="left"/>
        <w:tblLayout w:type="fixed"/>
      </w:tblPr>
      <w:tblGrid>
        <w:gridCol w:w="1531"/>
        <w:gridCol w:w="850"/>
        <w:gridCol w:w="850"/>
        <w:gridCol w:w="1421"/>
        <w:gridCol w:w="1416"/>
        <w:gridCol w:w="1560"/>
        <w:gridCol w:w="1282"/>
      </w:tblGrid>
      <w:tr>
        <w:trPr>
          <w:trHeight w:val="178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Значение характери 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Единица измерения характери 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05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Инструкция</w:t>
              <w:tab/>
              <w:t>по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заполнению характеристики в заявке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Обоснование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включения дополнительной информации</w:t>
              <w:tab/>
              <w:t>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сведения о товаре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13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Система реанимационная открытая</w:t>
              <w:tab/>
              <w:t>для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новорожденных ОРС-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294" w:val="left"/>
              </w:tabs>
              <w:bidi w:val="0"/>
              <w:spacing w:before="0" w:after="0" w:line="240" w:lineRule="auto"/>
              <w:ind w:left="0" w:right="0" w:firstLine="30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V</w:t>
              <w:tab/>
              <w:t>по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51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АМНК.941549.001ТУ (ТУ</w:t>
              <w:tab/>
              <w:t>26.60.13-103</w:t>
              <w:softHyphen/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07539541-2017) производитель Швабе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739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РЗН</w:t>
              <w:tab/>
              <w:t>2019/8181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(Россия)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989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Система открытая реанимационная для интенсивной терапии новорожденных с принадлежностя ми С1С 101 (Индия)</w:t>
              <w:tab/>
              <w:t>-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ближайший аналог</w:t>
            </w:r>
          </w:p>
        </w:tc>
      </w:tr>
      <w:tr>
        <w:trPr>
          <w:trHeight w:val="17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Столик с рычагом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Значение характеристик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в соответствии с электронным документом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«Описание объекта закупки»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562" w:val="left"/>
                <w:tab w:pos="1267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Такая формулировка есть</w:t>
              <w:tab/>
              <w:t>только</w:t>
              <w:tab/>
              <w:t>у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производителя РЗН 2019/8181 Система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13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реанимационная открытая</w:t>
              <w:tab/>
              <w:t>для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новорожденных ОРС-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294" w:val="left"/>
              </w:tabs>
              <w:bidi w:val="0"/>
              <w:spacing w:before="0" w:after="0" w:line="240" w:lineRule="auto"/>
              <w:ind w:left="0" w:right="0" w:firstLine="30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V</w:t>
              <w:tab/>
              <w:t>по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523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АМНК.941549.001ТУ (ТУ</w:t>
              <w:tab/>
              <w:t>26.60.13-103</w:t>
              <w:softHyphen/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07539541-2017)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850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Полка</w:t>
              <w:tab/>
              <w:t>для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дополнительного оборудования (ответ на запрос от 13.09.2024)</w:t>
            </w:r>
          </w:p>
        </w:tc>
      </w:tr>
      <w:tr>
        <w:trPr>
          <w:trHeight w:val="17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24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Максимальный уровень облученности</w:t>
              <w:tab/>
              <w:t>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любой точке детского ложа в ближнем инфракрасном диапазоне спектра (от 760 до 1400 нм), мВт/см</w:t>
            </w: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vertAlign w:val="superscript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&lt; 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в соответствии с электронным документом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«Описание объекта закупки»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562" w:val="left"/>
                <w:tab w:pos="1267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Такая формулировка есть</w:t>
              <w:tab/>
              <w:t>только</w:t>
              <w:tab/>
              <w:t>у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производителя РЗН 2019/8181 Система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13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реанимационная открытая</w:t>
              <w:tab/>
              <w:t>для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новорожденных ОРС-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294" w:val="left"/>
              </w:tabs>
              <w:bidi w:val="0"/>
              <w:spacing w:before="0" w:after="0" w:line="240" w:lineRule="auto"/>
              <w:ind w:left="0" w:right="0" w:firstLine="30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V</w:t>
              <w:tab/>
              <w:t>по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523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АМНК.941549.001ТУ (ТУ</w:t>
              <w:tab/>
              <w:t>26.60.13-103</w:t>
              <w:softHyphen/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07539541-2017)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нет</w:t>
            </w:r>
          </w:p>
        </w:tc>
      </w:tr>
      <w:tr>
        <w:trPr>
          <w:trHeight w:val="17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Уровень излучения в любой непонятной точке рабочего поля при подключенном датчике температуры кожи при ручном режиме, основной диапазон, мВт/см</w:t>
            </w: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vertAlign w:val="superscript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&gt; 0 и &lt; 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в соответствии с электронным документом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«Описание объекта закупки»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562" w:val="left"/>
                <w:tab w:pos="1267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Такая формулировка есть</w:t>
              <w:tab/>
              <w:t>только</w:t>
              <w:tab/>
              <w:t>у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производителя РЗН 2019/8181 Система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13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реанимационная открытая</w:t>
              <w:tab/>
              <w:t>для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новорожденных ОРС-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294" w:val="left"/>
              </w:tabs>
              <w:bidi w:val="0"/>
              <w:spacing w:before="0" w:after="0" w:line="240" w:lineRule="auto"/>
              <w:ind w:left="0" w:right="0" w:firstLine="30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V</w:t>
              <w:tab/>
              <w:t>по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523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АМНК.941549.001ТУ (ТУ</w:t>
              <w:tab/>
              <w:t>26.60.13-103</w:t>
              <w:softHyphen/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07539541-2017)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533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нет</w:t>
              <w:tab/>
              <w:t>единицы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измерения мВт в инструкции</w:t>
            </w:r>
          </w:p>
        </w:tc>
      </w:tr>
      <w:tr>
        <w:trPr>
          <w:trHeight w:val="17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061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Относительное распределение суммарной интенсивности излучения</w:t>
              <w:tab/>
              <w:t>для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166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билирубина</w:t>
              <w:tab/>
              <w:t>на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эффективной площади облучения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&gt; 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Процент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в соответствии с электронным документом «Описание объекта закупки»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562" w:val="left"/>
                <w:tab w:pos="1267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Такая формулировка есть</w:t>
              <w:tab/>
              <w:t>только</w:t>
              <w:tab/>
              <w:t>у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производителя РЗН 2019/8181 Система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13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реанимационная открытая</w:t>
              <w:tab/>
              <w:t>для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новорожденных ОРС-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294" w:val="left"/>
              </w:tabs>
              <w:bidi w:val="0"/>
              <w:spacing w:before="0" w:after="0" w:line="240" w:lineRule="auto"/>
              <w:ind w:left="0" w:right="0" w:firstLine="30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V</w:t>
              <w:tab/>
              <w:t>по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523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АМНК.941549.001ТУ (ТУ</w:t>
              <w:tab/>
              <w:t>26.60.13-103</w:t>
              <w:softHyphen/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07539541-2017)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994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Нет</w:t>
              <w:tab/>
              <w:t>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инструкции</w:t>
            </w:r>
          </w:p>
        </w:tc>
      </w:tr>
      <w:tr>
        <w:trPr>
          <w:trHeight w:val="178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Угол вращения ложа вокруг вертикальной оси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&gt; 45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Градус (плоского угла)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в соответствии с электронным документом «Описание объекта закупки»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562" w:val="left"/>
                <w:tab w:pos="1267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Такая формулировка есть</w:t>
              <w:tab/>
              <w:t>только</w:t>
              <w:tab/>
              <w:t>у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производителя РЗН 2019/8181 Система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13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реанимационная открытая</w:t>
              <w:tab/>
              <w:t>для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новорожденных ОРС-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294" w:val="left"/>
              </w:tabs>
              <w:bidi w:val="0"/>
              <w:spacing w:before="0" w:after="0" w:line="240" w:lineRule="auto"/>
              <w:ind w:left="0" w:right="0" w:firstLine="30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V</w:t>
              <w:tab/>
              <w:t>по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523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АМНК.941549.001ТУ (ТУ</w:t>
              <w:tab/>
              <w:t>26.60.13-103</w:t>
              <w:softHyphen/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07539541-2017)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994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Нет</w:t>
              <w:tab/>
              <w:t>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инструкции</w:t>
            </w:r>
          </w:p>
        </w:tc>
      </w:tr>
      <w:tr>
        <w:trPr>
          <w:trHeight w:val="178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Без подключенных датчиков температуры кожи уровень излучения при ручном режиме, мВт/см</w:t>
            </w: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vertAlign w:val="superscript"/>
                <w:lang w:val="ru-RU" w:eastAsia="ru-RU" w:bidi="ru-RU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&lt; 10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в соответствии с электронным документом «Описание объекта закупки»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562" w:val="left"/>
                <w:tab w:pos="1267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Такая формулировка есть</w:t>
              <w:tab/>
              <w:t>только</w:t>
              <w:tab/>
              <w:t>у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производителя РЗН 2019/8181 Система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138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реанимационная открытая</w:t>
              <w:tab/>
              <w:t>для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новорожденных ОРС-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1294" w:val="left"/>
              </w:tabs>
              <w:bidi w:val="0"/>
              <w:spacing w:before="0" w:after="0" w:line="240" w:lineRule="auto"/>
              <w:ind w:left="0" w:right="0" w:firstLine="30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V</w:t>
              <w:tab/>
              <w:t>по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523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АМНК.941549.001ТУ (ТУ</w:t>
              <w:tab/>
              <w:t>26.60.13-103</w:t>
              <w:softHyphen/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07539541-2017)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tabs>
                <w:tab w:pos="994" w:val="left"/>
              </w:tabs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Нет</w:t>
              <w:tab/>
              <w:t>в</w:t>
            </w:r>
          </w:p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инструкции</w:t>
            </w:r>
          </w:p>
        </w:tc>
      </w:tr>
    </w:tbl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как указывает Заявитель, у иных товаров такие характеристики отсутствуют, а также сами по себе не имеют преимущества в потребительской ценности по сравнению с ближайшими аналогами.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адрес Управления Федеральной антимонопольной службы Российской Федерации по Волгоградской области представлено пояснение, согласно которому с доводами Заявителя не согласен ввиду следующего.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пояснениям Заказчика, его описанию соответствуют по крайне мере два товара, а именно: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Система реанимационная открытая для новорожденных «ОРС-ВОХО» АМНК.941549.001ТУ (ТУ 26.60.13-103-07539541-2017) производства АО «ПО «УОМЗ», Россия, РУ РЗН 2019/8181;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Система открытая реанимационная для интенсивной терапии новорожденных, варианты исполнения: С1С 101 производства «Феникс Медикал Системе Прайвет Лимитед», Индия, ФСЗ 2012/13197.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не усматривает в настоящем случае факта ограничения конкуренции Заказчиком, ввиду следующего.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 ч. 1 ст. 33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"или эквивалент";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Заявителем не представлены безусловные доказательства, опровергающие доводы Заказчика.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ходе проведения внеплановой проверки были выявлены нарушения Заказчиком положений ч. 3 ст. 7 и ч. 5 ст. 42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3 ст. 7 Закона о контрактной системе информация, размещенная в единой информационной системе, должна быть полной и достоверной.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5 ст. 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11.09.2024 поступил запрос о даче разъяснений положений извещения об осуществлении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Разъяснением положений извещения об осуществлении закупки от 13.09.2024 № РИ1 Заказчиком дано пояснение по пункту «Столик с рычагом» описания объекта закупки: «Прямоугольный дополнительный столик, необходим для размещения дополнительного оборудования. Не имеет отношения к детской ложе».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Такое разъяснение Заказчика привело к дополнению и изменению сути извещения об осуществлении закупки в части описания объекта закупки, которое отсутствовало в извещении о проведении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Заказчиком нарушены ч. 3 ст. 7 и ч. 5 ст. 42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Комиссия не усматривает оснований для выдачи Заказчику обязательного для исполнения предписания об устранении нарушений, ввиду следующего.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№ 0129200005324002730, в электронном аукционе принимало участие три участника, заявки которых признаны соответствующими требованиям извещения.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настоящем случае не представлены доказательства, что указанные нарушения повлияли на результат определения поставщика.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«МО «Отдел медицинской техники» вх. № 9912/24 от 19.09.2024 на действия комиссии по осуществлению закупок при проведении электронного аукциона «Поставка медицинских изделий - стол для реанимации новорожденных, ввод в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эксплуатацию медицинских изделий, обучение правилам эксплуатации специалистов, эксплуатирующих медицинские изделия» (номер извещения 0129200005324002730) необоснованной.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Заказчика нарушившим ч. 3 ст. 7 и ч. 5 ст. 42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соответствии с Кодексом Российской Федерации об административных правонарушениях в отношении виновного должностного лица Заказчика.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85" w:right="441" w:bottom="830" w:left="106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353695" distL="0" distR="0" simplePos="0" relativeHeight="125829380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279400</wp:posOffset>
                </wp:positionV>
                <wp:extent cx="182880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950000000000003pt;margin-top:22.pt;width:144.pt;height:19.900000000000002pt;z-index:-125829373;mso-wrap-distance-left:0;mso-wrap-distance-top:22.pt;mso-wrap-distance-right:0;mso-wrap-distance-bottom:27.8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52425" distB="0" distL="0" distR="1786255" simplePos="0" relativeHeight="125829382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352425</wp:posOffset>
            </wp:positionV>
            <wp:extent cx="353695" cy="53657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755015</wp:posOffset>
                </wp:positionV>
                <wp:extent cx="1280160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40000000000001pt;margin-top:59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440690</wp:posOffset>
                </wp:positionV>
                <wp:extent cx="1722120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05000000000001pt;margin-top:34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353695" distL="0" distR="0" simplePos="0" relativeHeight="125829383" behindDoc="0" locked="0" layoutInCell="1" allowOverlap="1">
                <wp:simplePos x="0" y="0"/>
                <wp:positionH relativeFrom="page">
                  <wp:posOffset>6076315</wp:posOffset>
                </wp:positionH>
                <wp:positionV relativeFrom="paragraph">
                  <wp:posOffset>279400</wp:posOffset>
                </wp:positionV>
                <wp:extent cx="1109345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93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Р.А. Литвинов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8.44999999999999pt;margin-top:22.pt;width:87.350000000000009pt;height:19.900000000000002pt;z-index:-125829370;mso-wrap-distance-left:0;mso-wrap-distance-top:22.pt;mso-wrap-distance-right:0;mso-wrap-distance-bottom:27.85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Р.А. Литвинов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Литвинов Руслан Андреевич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216876494В387АО35ОАОА74В088ЕЗОО5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20.09.2024 по 14.12.2025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20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2658745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3115945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34999999999999pt;margin-top:36.70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pt;margin-top:12.20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С.В. Моисеев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Моисеев Сергей Владимирович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00Е6С74С8575АС586СС384В7Е961085ЕЕ9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21.06.2024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14.09.2025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50190" distB="635" distL="0" distR="0" simplePos="0" relativeHeight="125829386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250190</wp:posOffset>
                </wp:positionV>
                <wp:extent cx="1722120" cy="25590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2.pt;margin-top:19.699999999999999pt;width:135.59999999999999pt;height:20.150000000000002pt;z-index:-125829367;mso-wrap-distance-left:0;mso-wrap-distance-top:19.69999999999999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67640" distL="0" distR="0" simplePos="0" relativeHeight="125829388" behindDoc="0" locked="0" layoutInCell="1" allowOverlap="1">
                <wp:simplePos x="0" y="0"/>
                <wp:positionH relativeFrom="page">
                  <wp:posOffset>5965825</wp:posOffset>
                </wp:positionH>
                <wp:positionV relativeFrom="paragraph">
                  <wp:posOffset>88900</wp:posOffset>
                </wp:positionV>
                <wp:extent cx="1219200" cy="2501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Р.Ш. Джафаров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69.75pt;margin-top:7.pt;width:96.pt;height:19.699999999999999pt;z-index:-125829365;mso-wrap-distance-left:0;mso-wrap-distance-top:7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Р.Ш. Джафаров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2"/>
          <w:szCs w:val="12"/>
        </w:rPr>
      </w:pPr>
      <w:r>
        <w:rPr>
          <w:color w:val="E9E9E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86868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Джафаров Ровшан Ширяр_оглы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0090ВА169А947ЕЗЭ4214А4033СЗА8343А8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both"/>
      </w:pP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13.09.2024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86868"/>
          <w:spacing w:val="0"/>
          <w:w w:val="100"/>
          <w:position w:val="0"/>
          <w:shd w:val="clear" w:color="auto" w:fill="auto"/>
          <w:lang w:val="ru-RU" w:eastAsia="ru-RU" w:bidi="ru-RU"/>
        </w:rPr>
        <w:t>07.12.2025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Исп.Джафаров Р.Ш. тел.(8442)24-22-64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398" w:bottom="151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702310</wp:posOffset>
              </wp:positionH>
              <wp:positionV relativeFrom="page">
                <wp:posOffset>10016490</wp:posOffset>
              </wp:positionV>
              <wp:extent cx="64008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2024-8213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5.300000000000004pt;margin-top:788.70000000000005pt;width:50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2024-8213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9857740</wp:posOffset>
              </wp:positionV>
              <wp:extent cx="64008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2024-8213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950000000000003pt;margin-top:776.20000000000005pt;width:50.3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2024-8213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3905885</wp:posOffset>
              </wp:positionH>
              <wp:positionV relativeFrom="page">
                <wp:posOffset>682625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7.55000000000001pt;margin-top:53.75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9"/>
      <w:sz w:val="16"/>
      <w:szCs w:val="16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9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Подпись к картинке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3">
    <w:name w:val="Друго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6">
    <w:name w:val="Основной текст (4)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29">
    <w:name w:val="Основной текст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64646"/>
      <w:sz w:val="12"/>
      <w:szCs w:val="12"/>
      <w:u w:val="none"/>
    </w:rPr>
  </w:style>
  <w:style w:type="character" w:customStyle="1" w:styleId="CharStyle37">
    <w:name w:val="Основной текст (6)_"/>
    <w:basedOn w:val="DefaultParagraphFont"/>
    <w:link w:val="Styl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9"/>
      <w:sz w:val="16"/>
      <w:szCs w:val="16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  <w:spacing w:after="16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9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ind w:left="14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2">
    <w:name w:val="Другое"/>
    <w:basedOn w:val="Normal"/>
    <w:link w:val="CharStyle2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5">
    <w:name w:val="Основной текст (4)"/>
    <w:basedOn w:val="Normal"/>
    <w:link w:val="CharStyle2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28">
    <w:name w:val="Основной текст (2)"/>
    <w:basedOn w:val="Normal"/>
    <w:link w:val="CharStyle29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64646"/>
      <w:sz w:val="12"/>
      <w:szCs w:val="12"/>
      <w:u w:val="none"/>
    </w:rPr>
  </w:style>
  <w:style w:type="paragraph" w:customStyle="1" w:styleId="Style36">
    <w:name w:val="Основной текст (6)"/>
    <w:basedOn w:val="Normal"/>
    <w:link w:val="CharStyle37"/>
    <w:pPr>
      <w:widowControl w:val="0"/>
      <w:shd w:val="clear" w:color="auto" w:fill="auto"/>
      <w:spacing w:after="3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