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7"/>
        <w:keepNext w:val="0"/>
        <w:keepLines w:val="0"/>
        <w:widowControl w:val="0"/>
        <w:shd w:val="clear" w:color="auto" w:fill="auto"/>
        <w:bidi w:val="0"/>
        <w:spacing w:before="0" w:after="0" w:line="240" w:lineRule="auto"/>
        <w:ind w:left="1060" w:right="0" w:firstLine="0"/>
        <w:jc w:val="left"/>
        <w:rPr>
          <w:sz w:val="30"/>
          <w:szCs w:val="30"/>
        </w:rPr>
      </w:pPr>
      <w:r>
        <mc:AlternateContent>
          <mc:Choice Requires="wps">
            <w:drawing>
              <wp:anchor distT="0" distB="0" distL="0" distR="0" simplePos="0" relativeHeight="125829378" behindDoc="0" locked="0" layoutInCell="1" allowOverlap="1">
                <wp:simplePos x="0" y="0"/>
                <wp:positionH relativeFrom="page">
                  <wp:posOffset>723900</wp:posOffset>
                </wp:positionH>
                <wp:positionV relativeFrom="paragraph">
                  <wp:posOffset>127000</wp:posOffset>
                </wp:positionV>
                <wp:extent cx="2682240" cy="2087880"/>
                <wp:wrapSquare wrapText="bothSides"/>
                <wp:docPr id="1" name="Shape 1"/>
                <a:graphic xmlns:a="http://schemas.openxmlformats.org/drawingml/2006/main">
                  <a:graphicData uri="http://schemas.microsoft.com/office/word/2010/wordprocessingShape">
                    <wps:wsp>
                      <wps:cNvSpPr txBox="1"/>
                      <wps:spPr>
                        <a:xfrm>
                          <a:ext cx="2682240" cy="2087880"/>
                        </a:xfrm>
                        <a:prstGeom prst="rect"/>
                        <a:noFill/>
                      </wps:spPr>
                      <wps:txbx>
                        <w:txbxContent>
                          <w:p>
                            <w:pPr>
                              <w:pStyle w:val="Style2"/>
                              <w:keepNext w:val="0"/>
                              <w:keepLines w:val="0"/>
                              <w:widowControl w:val="0"/>
                              <w:shd w:val="clear" w:color="auto" w:fill="auto"/>
                              <w:bidi w:val="0"/>
                              <w:spacing w:before="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0" w:line="254" w:lineRule="auto"/>
                              <w:ind w:left="0" w:right="0" w:firstLine="0"/>
                              <w:jc w:val="center"/>
                            </w:pPr>
                            <w:r>
                              <w:rPr>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ind w:left="0" w:right="0" w:firstLine="0"/>
                              <w:jc w:val="center"/>
                              <w:rPr>
                                <w:sz w:val="17"/>
                                <w:szCs w:val="17"/>
                              </w:rPr>
                            </w:pPr>
                            <w:r>
                              <w:rPr>
                                <w:b/>
                                <w:bCs/>
                                <w:spacing w:val="0"/>
                                <w:w w:val="100"/>
                                <w:position w:val="0"/>
                                <w:sz w:val="17"/>
                                <w:szCs w:val="17"/>
                                <w:shd w:val="clear" w:color="auto" w:fill="auto"/>
                                <w:lang w:val="ru-RU" w:eastAsia="ru-RU" w:bidi="ru-RU"/>
                              </w:rPr>
                              <w:t>Федеральной антимонопольной службы</w:t>
                              <w:br/>
                              <w:t>по Курганской области</w:t>
                            </w:r>
                          </w:p>
                          <w:p>
                            <w:pPr>
                              <w:pStyle w:val="Style2"/>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ул. М. Горького, 40, г. Курган, 640020</w:t>
                              <w:br/>
                              <w:t>тел. (3522) 46-39-55, факс (3522) 46-39-85</w:t>
                            </w:r>
                          </w:p>
                          <w:p>
                            <w:pPr>
                              <w:pStyle w:val="Style2"/>
                              <w:keepNext w:val="0"/>
                              <w:keepLines w:val="0"/>
                              <w:widowControl w:val="0"/>
                              <w:shd w:val="clear" w:color="auto" w:fill="auto"/>
                              <w:bidi w:val="0"/>
                              <w:spacing w:before="0" w:after="240" w:line="269" w:lineRule="auto"/>
                              <w:ind w:left="0" w:right="0" w:firstLine="0"/>
                              <w:jc w:val="center"/>
                            </w:pPr>
                            <w:r>
                              <w:rPr>
                                <w:spacing w:val="0"/>
                                <w:w w:val="100"/>
                                <w:position w:val="0"/>
                                <w:shd w:val="clear" w:color="auto" w:fill="auto"/>
                                <w:lang w:val="ru-RU" w:eastAsia="ru-RU" w:bidi="ru-RU"/>
                              </w:rPr>
                              <w:t>е-тай: 1о45@Гаь.{»оу.ги</w:t>
                            </w:r>
                          </w:p>
                          <w:p>
                            <w:pPr>
                              <w:pStyle w:val="Style7"/>
                              <w:keepNext w:val="0"/>
                              <w:keepLines w:val="0"/>
                              <w:widowControl w:val="0"/>
                              <w:shd w:val="clear" w:color="auto" w:fill="auto"/>
                              <w:tabs>
                                <w:tab w:pos="1834" w:val="left"/>
                              </w:tabs>
                              <w:bidi w:val="0"/>
                              <w:spacing w:before="0" w:after="320" w:line="240" w:lineRule="auto"/>
                              <w:ind w:left="0" w:right="0" w:firstLine="0"/>
                              <w:jc w:val="center"/>
                              <w:rPr>
                                <w:sz w:val="30"/>
                                <w:szCs w:val="30"/>
                              </w:rPr>
                            </w:pPr>
                            <w:r>
                              <w:rPr>
                                <w:color w:val="000000"/>
                                <w:spacing w:val="0"/>
                                <w:w w:val="100"/>
                                <w:position w:val="0"/>
                                <w:sz w:val="30"/>
                                <w:szCs w:val="30"/>
                                <w:u w:val="single"/>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1,10.2024</w:t>
                            </w:r>
                            <w:r>
                              <w:rPr>
                                <w:color w:val="000000"/>
                                <w:spacing w:val="0"/>
                                <w:w w:val="100"/>
                                <w:position w:val="0"/>
                                <w:sz w:val="30"/>
                                <w:szCs w:val="30"/>
                                <w:shd w:val="clear" w:color="auto" w:fill="auto"/>
                                <w:lang w:val="ru-RU" w:eastAsia="ru-RU" w:bidi="ru-RU"/>
                              </w:rPr>
                              <w:tab/>
                            </w:r>
                            <w:r>
                              <w:fldChar w:fldCharType="end"/>
                            </w:r>
                            <w:r>
                              <w:rPr>
                                <w:color w:val="000000"/>
                                <w:spacing w:val="0"/>
                                <w:w w:val="100"/>
                                <w:position w:val="0"/>
                                <w:sz w:val="30"/>
                                <w:szCs w:val="30"/>
                                <w:shd w:val="clear" w:color="auto" w:fill="auto"/>
                                <w:lang w:val="ru-RU" w:eastAsia="ru-RU" w:bidi="ru-RU"/>
                              </w:rPr>
                              <w:t xml:space="preserve">№ </w:t>
                            </w:r>
                            <w:r>
                              <w:rPr>
                                <w:color w:val="000000"/>
                                <w:spacing w:val="0"/>
                                <w:w w:val="100"/>
                                <w:position w:val="0"/>
                                <w:sz w:val="30"/>
                                <w:szCs w:val="30"/>
                                <w:u w:val="single"/>
                                <w:shd w:val="clear" w:color="auto" w:fill="auto"/>
                                <w:lang w:val="ru-RU" w:eastAsia="ru-RU" w:bidi="ru-RU"/>
                              </w:rPr>
                              <w:t>АИ/2952/2</w:t>
                            </w:r>
                            <w:r>
                              <w:rPr>
                                <w:color w:val="000000"/>
                                <w:spacing w:val="0"/>
                                <w:w w:val="100"/>
                                <w:position w:val="0"/>
                                <w:sz w:val="30"/>
                                <w:szCs w:val="30"/>
                                <w:shd w:val="clear" w:color="auto" w:fill="auto"/>
                                <w:lang w:val="ru-RU" w:eastAsia="ru-RU" w:bidi="ru-RU"/>
                              </w:rPr>
                              <w:t>4</w:t>
                            </w:r>
                          </w:p>
                          <w:p>
                            <w:pPr>
                              <w:pStyle w:val="Style5"/>
                              <w:keepNext w:val="0"/>
                              <w:keepLines w:val="0"/>
                              <w:widowControl w:val="0"/>
                              <w:shd w:val="clear" w:color="auto" w:fill="auto"/>
                              <w:bidi w:val="0"/>
                              <w:spacing w:before="0" w:after="140" w:line="266"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pt;margin-top:10.pt;width:211.20000000000002pt;height:164.40000000000001pt;z-index:-125829375;mso-wrap-distance-left:0;mso-wrap-distance-right:0;mso-position-horizontal-relative:page" filled="f" stroked="f">
                <v:textbox inset="0,0,0,0">
                  <w:txbxContent>
                    <w:p>
                      <w:pPr>
                        <w:pStyle w:val="Style2"/>
                        <w:keepNext w:val="0"/>
                        <w:keepLines w:val="0"/>
                        <w:widowControl w:val="0"/>
                        <w:shd w:val="clear" w:color="auto" w:fill="auto"/>
                        <w:bidi w:val="0"/>
                        <w:spacing w:before="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0" w:line="254" w:lineRule="auto"/>
                        <w:ind w:left="0" w:right="0" w:firstLine="0"/>
                        <w:jc w:val="center"/>
                      </w:pPr>
                      <w:r>
                        <w:rPr>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ind w:left="0" w:right="0" w:firstLine="0"/>
                        <w:jc w:val="center"/>
                        <w:rPr>
                          <w:sz w:val="17"/>
                          <w:szCs w:val="17"/>
                        </w:rPr>
                      </w:pPr>
                      <w:r>
                        <w:rPr>
                          <w:b/>
                          <w:bCs/>
                          <w:spacing w:val="0"/>
                          <w:w w:val="100"/>
                          <w:position w:val="0"/>
                          <w:sz w:val="17"/>
                          <w:szCs w:val="17"/>
                          <w:shd w:val="clear" w:color="auto" w:fill="auto"/>
                          <w:lang w:val="ru-RU" w:eastAsia="ru-RU" w:bidi="ru-RU"/>
                        </w:rPr>
                        <w:t>Федеральной антимонопольной службы</w:t>
                        <w:br/>
                        <w:t>по Курганской области</w:t>
                      </w:r>
                    </w:p>
                    <w:p>
                      <w:pPr>
                        <w:pStyle w:val="Style2"/>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ул. М. Горького, 40, г. Курган, 640020</w:t>
                        <w:br/>
                        <w:t>тел. (3522) 46-39-55, факс (3522) 46-39-85</w:t>
                      </w:r>
                    </w:p>
                    <w:p>
                      <w:pPr>
                        <w:pStyle w:val="Style2"/>
                        <w:keepNext w:val="0"/>
                        <w:keepLines w:val="0"/>
                        <w:widowControl w:val="0"/>
                        <w:shd w:val="clear" w:color="auto" w:fill="auto"/>
                        <w:bidi w:val="0"/>
                        <w:spacing w:before="0" w:after="240" w:line="269" w:lineRule="auto"/>
                        <w:ind w:left="0" w:right="0" w:firstLine="0"/>
                        <w:jc w:val="center"/>
                      </w:pPr>
                      <w:r>
                        <w:rPr>
                          <w:spacing w:val="0"/>
                          <w:w w:val="100"/>
                          <w:position w:val="0"/>
                          <w:shd w:val="clear" w:color="auto" w:fill="auto"/>
                          <w:lang w:val="ru-RU" w:eastAsia="ru-RU" w:bidi="ru-RU"/>
                        </w:rPr>
                        <w:t>е-тай: 1о45@Гаь.{»оу.ги</w:t>
                      </w:r>
                    </w:p>
                    <w:p>
                      <w:pPr>
                        <w:pStyle w:val="Style7"/>
                        <w:keepNext w:val="0"/>
                        <w:keepLines w:val="0"/>
                        <w:widowControl w:val="0"/>
                        <w:shd w:val="clear" w:color="auto" w:fill="auto"/>
                        <w:tabs>
                          <w:tab w:pos="1834" w:val="left"/>
                        </w:tabs>
                        <w:bidi w:val="0"/>
                        <w:spacing w:before="0" w:after="320" w:line="240" w:lineRule="auto"/>
                        <w:ind w:left="0" w:right="0" w:firstLine="0"/>
                        <w:jc w:val="center"/>
                        <w:rPr>
                          <w:sz w:val="30"/>
                          <w:szCs w:val="30"/>
                        </w:rPr>
                      </w:pPr>
                      <w:r>
                        <w:rPr>
                          <w:color w:val="000000"/>
                          <w:spacing w:val="0"/>
                          <w:w w:val="100"/>
                          <w:position w:val="0"/>
                          <w:sz w:val="30"/>
                          <w:szCs w:val="30"/>
                          <w:u w:val="single"/>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1,10.2024</w:t>
                      </w:r>
                      <w:r>
                        <w:rPr>
                          <w:color w:val="000000"/>
                          <w:spacing w:val="0"/>
                          <w:w w:val="100"/>
                          <w:position w:val="0"/>
                          <w:sz w:val="30"/>
                          <w:szCs w:val="30"/>
                          <w:shd w:val="clear" w:color="auto" w:fill="auto"/>
                          <w:lang w:val="ru-RU" w:eastAsia="ru-RU" w:bidi="ru-RU"/>
                        </w:rPr>
                        <w:tab/>
                      </w:r>
                      <w:r>
                        <w:fldChar w:fldCharType="end"/>
                      </w:r>
                      <w:r>
                        <w:rPr>
                          <w:color w:val="000000"/>
                          <w:spacing w:val="0"/>
                          <w:w w:val="100"/>
                          <w:position w:val="0"/>
                          <w:sz w:val="30"/>
                          <w:szCs w:val="30"/>
                          <w:shd w:val="clear" w:color="auto" w:fill="auto"/>
                          <w:lang w:val="ru-RU" w:eastAsia="ru-RU" w:bidi="ru-RU"/>
                        </w:rPr>
                        <w:t xml:space="preserve">№ </w:t>
                      </w:r>
                      <w:r>
                        <w:rPr>
                          <w:color w:val="000000"/>
                          <w:spacing w:val="0"/>
                          <w:w w:val="100"/>
                          <w:position w:val="0"/>
                          <w:sz w:val="30"/>
                          <w:szCs w:val="30"/>
                          <w:u w:val="single"/>
                          <w:shd w:val="clear" w:color="auto" w:fill="auto"/>
                          <w:lang w:val="ru-RU" w:eastAsia="ru-RU" w:bidi="ru-RU"/>
                        </w:rPr>
                        <w:t>АИ/2952/2</w:t>
                      </w:r>
                      <w:r>
                        <w:rPr>
                          <w:color w:val="000000"/>
                          <w:spacing w:val="0"/>
                          <w:w w:val="100"/>
                          <w:position w:val="0"/>
                          <w:sz w:val="30"/>
                          <w:szCs w:val="30"/>
                          <w:shd w:val="clear" w:color="auto" w:fill="auto"/>
                          <w:lang w:val="ru-RU" w:eastAsia="ru-RU" w:bidi="ru-RU"/>
                        </w:rPr>
                        <w:t>4</w:t>
                      </w:r>
                    </w:p>
                    <w:p>
                      <w:pPr>
                        <w:pStyle w:val="Style5"/>
                        <w:keepNext w:val="0"/>
                        <w:keepLines w:val="0"/>
                        <w:widowControl w:val="0"/>
                        <w:shd w:val="clear" w:color="auto" w:fill="auto"/>
                        <w:bidi w:val="0"/>
                        <w:spacing w:before="0" w:after="140" w:line="266"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txbxContent>
                </v:textbox>
                <w10:wrap type="square" anchorx="page"/>
              </v:shape>
            </w:pict>
          </mc:Fallback>
        </mc:AlternateContent>
      </w:r>
      <w:r>
        <w:rPr>
          <w:color w:val="000000"/>
          <w:spacing w:val="0"/>
          <w:w w:val="100"/>
          <w:position w:val="0"/>
          <w:sz w:val="30"/>
          <w:szCs w:val="30"/>
          <w:shd w:val="clear" w:color="auto" w:fill="auto"/>
          <w:lang w:val="ru-RU" w:eastAsia="ru-RU" w:bidi="ru-RU"/>
        </w:rPr>
        <w:t>Государственное казенное учреждение «Центр закупок и бухгалтерского учета Курганской области»</w:t>
      </w:r>
    </w:p>
    <w:p>
      <w:pPr>
        <w:pStyle w:val="Style7"/>
        <w:keepNext w:val="0"/>
        <w:keepLines w:val="0"/>
        <w:widowControl w:val="0"/>
        <w:shd w:val="clear" w:color="auto" w:fill="auto"/>
        <w:bidi w:val="0"/>
        <w:spacing w:before="0" w:after="0" w:line="240" w:lineRule="auto"/>
        <w:ind w:left="1060" w:right="0" w:firstLine="0"/>
        <w:jc w:val="left"/>
        <w:rPr>
          <w:sz w:val="30"/>
          <w:szCs w:val="30"/>
        </w:rPr>
      </w:pPr>
      <w:r>
        <w:rPr>
          <w:color w:val="000000"/>
          <w:spacing w:val="0"/>
          <w:w w:val="100"/>
          <w:position w:val="0"/>
          <w:sz w:val="30"/>
          <w:szCs w:val="30"/>
          <w:shd w:val="clear" w:color="auto" w:fill="auto"/>
          <w:lang w:val="ru-RU" w:eastAsia="ru-RU" w:bidi="ru-RU"/>
        </w:rPr>
        <w:t>640003, Курганская область, г.</w:t>
      </w:r>
    </w:p>
    <w:p>
      <w:pPr>
        <w:pStyle w:val="Style7"/>
        <w:keepNext w:val="0"/>
        <w:keepLines w:val="0"/>
        <w:widowControl w:val="0"/>
        <w:shd w:val="clear" w:color="auto" w:fill="auto"/>
        <w:bidi w:val="0"/>
        <w:spacing w:before="0" w:after="0" w:line="240" w:lineRule="auto"/>
        <w:ind w:left="1060" w:right="0" w:firstLine="0"/>
        <w:jc w:val="left"/>
        <w:rPr>
          <w:sz w:val="30"/>
          <w:szCs w:val="30"/>
        </w:rPr>
      </w:pPr>
      <w:r>
        <w:rPr>
          <w:color w:val="000000"/>
          <w:spacing w:val="0"/>
          <w:w w:val="100"/>
          <w:position w:val="0"/>
          <w:sz w:val="30"/>
          <w:szCs w:val="30"/>
          <w:shd w:val="clear" w:color="auto" w:fill="auto"/>
          <w:lang w:val="ru-RU" w:eastAsia="ru-RU" w:bidi="ru-RU"/>
        </w:rPr>
        <w:t>Курган, ул. Р. Зорге, д. 20, оф. 1</w:t>
      </w:r>
    </w:p>
    <w:p>
      <w:pPr>
        <w:pStyle w:val="Style7"/>
        <w:keepNext w:val="0"/>
        <w:keepLines w:val="0"/>
        <w:widowControl w:val="0"/>
        <w:shd w:val="clear" w:color="auto" w:fill="auto"/>
        <w:bidi w:val="0"/>
        <w:spacing w:before="0" w:after="280" w:line="240" w:lineRule="auto"/>
        <w:ind w:left="1060" w:right="0" w:firstLine="0"/>
        <w:jc w:val="left"/>
        <w:rPr>
          <w:sz w:val="30"/>
          <w:szCs w:val="30"/>
        </w:rPr>
      </w:pPr>
      <w:r>
        <w:rPr>
          <w:color w:val="000000"/>
          <w:spacing w:val="0"/>
          <w:w w:val="100"/>
          <w:position w:val="0"/>
          <w:sz w:val="30"/>
          <w:szCs w:val="30"/>
          <w:shd w:val="clear" w:color="auto" w:fill="auto"/>
          <w:lang w:val="ru-RU" w:eastAsia="ru-RU" w:bidi="ru-RU"/>
        </w:rPr>
        <w:t>идх@кигдапоЬ1.ш</w:t>
      </w:r>
    </w:p>
    <w:p>
      <w:pPr>
        <w:pStyle w:val="Style7"/>
        <w:keepNext w:val="0"/>
        <w:keepLines w:val="0"/>
        <w:widowControl w:val="0"/>
        <w:shd w:val="clear" w:color="auto" w:fill="auto"/>
        <w:bidi w:val="0"/>
        <w:spacing w:before="0" w:after="0" w:line="240" w:lineRule="auto"/>
        <w:ind w:left="1060" w:right="0" w:firstLine="0"/>
        <w:jc w:val="left"/>
        <w:rPr>
          <w:sz w:val="30"/>
          <w:szCs w:val="30"/>
        </w:rPr>
      </w:pPr>
      <w:r>
        <w:rPr>
          <w:color w:val="000000"/>
          <w:spacing w:val="0"/>
          <w:w w:val="100"/>
          <w:position w:val="0"/>
          <w:sz w:val="30"/>
          <w:szCs w:val="30"/>
          <w:shd w:val="clear" w:color="auto" w:fill="auto"/>
          <w:lang w:val="ru-RU" w:eastAsia="ru-RU" w:bidi="ru-RU"/>
        </w:rPr>
        <w:t>Муниципальное казенное учреждение «Управление дорожного хозяйства и благоустройства города Кургана»</w:t>
      </w:r>
    </w:p>
    <w:p>
      <w:pPr>
        <w:pStyle w:val="Style7"/>
        <w:keepNext w:val="0"/>
        <w:keepLines w:val="0"/>
        <w:widowControl w:val="0"/>
        <w:shd w:val="clear" w:color="auto" w:fill="auto"/>
        <w:bidi w:val="0"/>
        <w:spacing w:before="0" w:after="0" w:line="240" w:lineRule="auto"/>
        <w:ind w:left="1060" w:right="0" w:firstLine="0"/>
        <w:jc w:val="left"/>
        <w:rPr>
          <w:sz w:val="30"/>
          <w:szCs w:val="30"/>
        </w:rPr>
      </w:pPr>
      <w:r>
        <w:rPr>
          <w:color w:val="000000"/>
          <w:spacing w:val="0"/>
          <w:w w:val="100"/>
          <w:position w:val="0"/>
          <w:sz w:val="30"/>
          <w:szCs w:val="30"/>
          <w:shd w:val="clear" w:color="auto" w:fill="auto"/>
          <w:lang w:val="ru-RU" w:eastAsia="ru-RU" w:bidi="ru-RU"/>
        </w:rPr>
        <w:t>640001, г. Курган, ул. Коли Мяготина, д. 89, корп. А</w:t>
      </w:r>
    </w:p>
    <w:p>
      <w:pPr>
        <w:pStyle w:val="Style7"/>
        <w:keepNext w:val="0"/>
        <w:keepLines w:val="0"/>
        <w:widowControl w:val="0"/>
        <w:shd w:val="clear" w:color="auto" w:fill="auto"/>
        <w:bidi w:val="0"/>
        <w:spacing w:before="0" w:after="280" w:line="240" w:lineRule="auto"/>
        <w:ind w:left="1060" w:right="0" w:firstLine="0"/>
        <w:jc w:val="left"/>
        <w:rPr>
          <w:sz w:val="30"/>
          <w:szCs w:val="30"/>
        </w:rPr>
      </w:pPr>
      <w:r>
        <w:rPr>
          <w:color w:val="000000"/>
          <w:spacing w:val="0"/>
          <w:w w:val="100"/>
          <w:position w:val="0"/>
          <w:sz w:val="30"/>
          <w:szCs w:val="30"/>
          <w:shd w:val="clear" w:color="auto" w:fill="auto"/>
          <w:lang w:val="ru-RU" w:eastAsia="ru-RU" w:bidi="ru-RU"/>
        </w:rPr>
        <w:t>идхЬ-кигдап@уапдех.ш</w:t>
      </w:r>
    </w:p>
    <w:p>
      <w:pPr>
        <w:pStyle w:val="Style7"/>
        <w:keepNext w:val="0"/>
        <w:keepLines w:val="0"/>
        <w:widowControl w:val="0"/>
        <w:shd w:val="clear" w:color="auto" w:fill="auto"/>
        <w:bidi w:val="0"/>
        <w:spacing w:before="0" w:after="0" w:line="240" w:lineRule="auto"/>
        <w:ind w:left="1060" w:right="0" w:firstLine="0"/>
        <w:jc w:val="left"/>
        <w:rPr>
          <w:sz w:val="30"/>
          <w:szCs w:val="30"/>
        </w:rPr>
      </w:pPr>
      <w:r>
        <w:rPr>
          <w:color w:val="000000"/>
          <w:spacing w:val="0"/>
          <w:w w:val="100"/>
          <w:position w:val="0"/>
          <w:sz w:val="30"/>
          <w:szCs w:val="30"/>
          <w:shd w:val="clear" w:color="auto" w:fill="auto"/>
          <w:lang w:val="ru-RU" w:eastAsia="ru-RU" w:bidi="ru-RU"/>
        </w:rPr>
        <w:t>ОБЩЕСТВО С ОГРАНИЧЕННОЙ ОТВЕТСТВЕННОСТЬЮ "ХАБДОРПРОЕКТ"</w:t>
      </w:r>
    </w:p>
    <w:p>
      <w:pPr>
        <w:pStyle w:val="Style7"/>
        <w:keepNext w:val="0"/>
        <w:keepLines w:val="0"/>
        <w:widowControl w:val="0"/>
        <w:shd w:val="clear" w:color="auto" w:fill="auto"/>
        <w:bidi w:val="0"/>
        <w:spacing w:before="0" w:after="0" w:line="240" w:lineRule="auto"/>
        <w:ind w:left="1060" w:right="0" w:firstLine="0"/>
        <w:jc w:val="left"/>
        <w:rPr>
          <w:sz w:val="30"/>
          <w:szCs w:val="30"/>
        </w:rPr>
      </w:pPr>
      <w:r>
        <w:rPr>
          <w:color w:val="000000"/>
          <w:spacing w:val="0"/>
          <w:w w:val="100"/>
          <w:position w:val="0"/>
          <w:sz w:val="30"/>
          <w:szCs w:val="30"/>
          <w:shd w:val="clear" w:color="auto" w:fill="auto"/>
          <w:lang w:val="ru-RU" w:eastAsia="ru-RU" w:bidi="ru-RU"/>
        </w:rPr>
        <w:t>680012, КРАЙ ХАБАРОВСКИЙ, Г.</w:t>
      </w:r>
    </w:p>
    <w:p>
      <w:pPr>
        <w:pStyle w:val="Style7"/>
        <w:keepNext w:val="0"/>
        <w:keepLines w:val="0"/>
        <w:widowControl w:val="0"/>
        <w:shd w:val="clear" w:color="auto" w:fill="auto"/>
        <w:bidi w:val="0"/>
        <w:spacing w:before="0" w:after="0" w:line="240" w:lineRule="auto"/>
        <w:ind w:left="1060" w:right="0" w:firstLine="0"/>
        <w:jc w:val="left"/>
        <w:rPr>
          <w:sz w:val="30"/>
          <w:szCs w:val="30"/>
        </w:rPr>
      </w:pPr>
      <w:r>
        <w:rPr>
          <w:color w:val="000000"/>
          <w:spacing w:val="0"/>
          <w:w w:val="100"/>
          <w:position w:val="0"/>
          <w:sz w:val="30"/>
          <w:szCs w:val="30"/>
          <w:shd w:val="clear" w:color="auto" w:fill="auto"/>
          <w:lang w:val="ru-RU" w:eastAsia="ru-RU" w:bidi="ru-RU"/>
        </w:rPr>
        <w:t>ХАБАРОВСК, УЛ.</w:t>
      </w:r>
    </w:p>
    <w:p>
      <w:pPr>
        <w:pStyle w:val="Style7"/>
        <w:keepNext w:val="0"/>
        <w:keepLines w:val="0"/>
        <w:widowControl w:val="0"/>
        <w:shd w:val="clear" w:color="auto" w:fill="auto"/>
        <w:bidi w:val="0"/>
        <w:spacing w:before="0" w:after="0" w:line="240" w:lineRule="auto"/>
        <w:ind w:left="1060" w:right="0" w:firstLine="0"/>
        <w:jc w:val="left"/>
        <w:rPr>
          <w:sz w:val="30"/>
          <w:szCs w:val="30"/>
        </w:rPr>
      </w:pPr>
      <w:r>
        <w:rPr>
          <w:color w:val="000000"/>
          <w:spacing w:val="0"/>
          <w:w w:val="100"/>
          <w:position w:val="0"/>
          <w:sz w:val="30"/>
          <w:szCs w:val="30"/>
          <w:shd w:val="clear" w:color="auto" w:fill="auto"/>
          <w:lang w:val="ru-RU" w:eastAsia="ru-RU" w:bidi="ru-RU"/>
        </w:rPr>
        <w:t>КРАСНОРЕЧЕНСКАЯ, Д. 189, КВ.</w:t>
      </w:r>
    </w:p>
    <w:p>
      <w:pPr>
        <w:pStyle w:val="Style7"/>
        <w:keepNext w:val="0"/>
        <w:keepLines w:val="0"/>
        <w:widowControl w:val="0"/>
        <w:shd w:val="clear" w:color="auto" w:fill="auto"/>
        <w:bidi w:val="0"/>
        <w:spacing w:before="0" w:after="360" w:line="240" w:lineRule="auto"/>
        <w:ind w:left="1060" w:right="0" w:firstLine="0"/>
        <w:jc w:val="left"/>
        <w:rPr>
          <w:sz w:val="30"/>
          <w:szCs w:val="30"/>
        </w:rPr>
      </w:pPr>
      <w:r>
        <w:rPr>
          <w:color w:val="000000"/>
          <w:spacing w:val="0"/>
          <w:w w:val="100"/>
          <w:position w:val="0"/>
          <w:sz w:val="30"/>
          <w:szCs w:val="30"/>
          <w:shd w:val="clear" w:color="auto" w:fill="auto"/>
          <w:lang w:val="ru-RU" w:eastAsia="ru-RU" w:bidi="ru-RU"/>
        </w:rPr>
        <w:t>84</w:t>
      </w:r>
    </w:p>
    <w:p>
      <w:pPr>
        <w:pStyle w:val="Style7"/>
        <w:keepNext w:val="0"/>
        <w:keepLines w:val="0"/>
        <w:widowControl w:val="0"/>
        <w:shd w:val="clear" w:color="auto" w:fill="auto"/>
        <w:bidi w:val="0"/>
        <w:spacing w:before="0" w:after="640" w:line="240" w:lineRule="auto"/>
        <w:ind w:left="1060" w:right="0" w:firstLine="0"/>
        <w:jc w:val="left"/>
        <w:rPr>
          <w:sz w:val="30"/>
          <w:szCs w:val="30"/>
        </w:rPr>
      </w:pPr>
      <w:r>
        <w:rPr>
          <w:color w:val="000000"/>
          <w:spacing w:val="0"/>
          <w:w w:val="100"/>
          <w:position w:val="0"/>
          <w:sz w:val="30"/>
          <w:szCs w:val="30"/>
          <w:shd w:val="clear" w:color="auto" w:fill="auto"/>
          <w:lang w:val="ru-RU" w:eastAsia="ru-RU" w:bidi="ru-RU"/>
        </w:rPr>
        <w:t>КИаЬ^о^Р^оек1@та^1.^и</w:t>
      </w:r>
    </w:p>
    <w:p>
      <w:pPr>
        <w:pStyle w:val="Style7"/>
        <w:keepNext w:val="0"/>
        <w:keepLines w:val="0"/>
        <w:widowControl w:val="0"/>
        <w:shd w:val="clear" w:color="auto" w:fill="auto"/>
        <w:bidi w:val="0"/>
        <w:spacing w:before="0" w:after="280" w:line="240" w:lineRule="auto"/>
        <w:ind w:left="-1500" w:right="0" w:hanging="2200"/>
        <w:jc w:val="left"/>
      </w:pPr>
      <w:r>
        <w:rPr>
          <w:b/>
          <w:bCs/>
          <w:color w:val="000000"/>
          <w:spacing w:val="0"/>
          <w:w w:val="100"/>
          <w:position w:val="0"/>
          <w:shd w:val="clear" w:color="auto" w:fill="auto"/>
          <w:lang w:val="ru-RU" w:eastAsia="ru-RU" w:bidi="ru-RU"/>
        </w:rPr>
        <w:t>Решение по делу о нарушении законодательства о контрактной системе в сфере закупок № 045/06/49-522/2024</w:t>
      </w:r>
    </w:p>
    <w:p>
      <w:pPr>
        <w:pStyle w:val="Style7"/>
        <w:keepNext w:val="0"/>
        <w:keepLines w:val="0"/>
        <w:widowControl w:val="0"/>
        <w:shd w:val="clear" w:color="auto" w:fill="auto"/>
        <w:tabs>
          <w:tab w:pos="4784" w:val="left"/>
        </w:tabs>
        <w:bidi w:val="0"/>
        <w:spacing w:before="0" w:after="280" w:line="240" w:lineRule="auto"/>
        <w:ind w:left="0" w:right="0" w:hanging="4240"/>
        <w:jc w:val="left"/>
      </w:pPr>
      <w:r>
        <w:rPr>
          <w:color w:val="000000"/>
          <w:spacing w:val="0"/>
          <w:w w:val="100"/>
          <w:position w:val="0"/>
          <w:shd w:val="clear" w:color="auto" w:fill="auto"/>
          <w:lang w:val="ru-RU" w:eastAsia="ru-RU" w:bidi="ru-RU"/>
        </w:rPr>
        <w:t>26.09.2024 г.</w:t>
        <w:tab/>
        <w:t>г. Курган</w:t>
      </w:r>
    </w:p>
    <w:p>
      <w:pPr>
        <w:pStyle w:val="Style7"/>
        <w:keepNext w:val="0"/>
        <w:keepLines w:val="0"/>
        <w:widowControl w:val="0"/>
        <w:shd w:val="clear" w:color="auto" w:fill="auto"/>
        <w:bidi w:val="0"/>
        <w:spacing w:before="0" w:after="0" w:line="240" w:lineRule="auto"/>
        <w:ind w:left="-4240" w:right="0" w:firstLine="700"/>
        <w:jc w:val="left"/>
      </w:pPr>
      <w:r>
        <w:rPr>
          <w:color w:val="000000"/>
          <w:spacing w:val="0"/>
          <w:w w:val="100"/>
          <w:position w:val="0"/>
          <w:shd w:val="clear" w:color="auto" w:fill="auto"/>
          <w:lang w:val="ru-RU" w:eastAsia="ru-RU" w:bidi="ru-RU"/>
        </w:rPr>
        <w:t>Комиссия Управления Федеральной антимонопольной службы по Курганской области по контролю в сфере закупок на территории Курганской области (далее - Комиссия Курганского УФАС России) в составе:</w:t>
      </w:r>
    </w:p>
    <w:p>
      <w:pPr>
        <w:pStyle w:val="Style7"/>
        <w:keepNext w:val="0"/>
        <w:keepLines w:val="0"/>
        <w:widowControl w:val="0"/>
        <w:shd w:val="clear" w:color="auto" w:fill="auto"/>
        <w:bidi w:val="0"/>
        <w:spacing w:before="0" w:after="0" w:line="240" w:lineRule="auto"/>
        <w:ind w:left="-4240" w:right="0" w:firstLine="700"/>
        <w:jc w:val="left"/>
      </w:pPr>
      <w:r>
        <w:rPr>
          <w:b/>
          <w:bCs/>
          <w:color w:val="000000"/>
          <w:spacing w:val="0"/>
          <w:w w:val="100"/>
          <w:position w:val="0"/>
          <w:shd w:val="clear" w:color="auto" w:fill="auto"/>
          <w:lang w:val="ru-RU" w:eastAsia="ru-RU" w:bidi="ru-RU"/>
        </w:rPr>
        <w:t xml:space="preserve">Председатель Комиссии </w:t>
      </w:r>
      <w:r>
        <w:rPr>
          <w:color w:val="000000"/>
          <w:spacing w:val="0"/>
          <w:w w:val="100"/>
          <w:position w:val="0"/>
          <w:shd w:val="clear" w:color="auto" w:fill="auto"/>
          <w:lang w:val="ru-RU" w:eastAsia="ru-RU" w:bidi="ru-RU"/>
        </w:rPr>
        <w:t>- Иванова А.В. - Врио руководителя Управления Федеральной антимонопольной службы по Курганской области;</w:t>
      </w:r>
    </w:p>
    <w:p>
      <w:pPr>
        <w:pStyle w:val="Style7"/>
        <w:keepNext w:val="0"/>
        <w:keepLines w:val="0"/>
        <w:widowControl w:val="0"/>
        <w:shd w:val="clear" w:color="auto" w:fill="auto"/>
        <w:bidi w:val="0"/>
        <w:spacing w:before="0" w:after="0" w:line="240" w:lineRule="auto"/>
        <w:ind w:left="0" w:right="0" w:hanging="3540"/>
        <w:jc w:val="left"/>
      </w:pPr>
      <w:r>
        <w:rPr>
          <w:b/>
          <w:bCs/>
          <w:color w:val="000000"/>
          <w:spacing w:val="0"/>
          <w:w w:val="100"/>
          <w:position w:val="0"/>
          <w:shd w:val="clear" w:color="auto" w:fill="auto"/>
          <w:lang w:val="ru-RU" w:eastAsia="ru-RU" w:bidi="ru-RU"/>
        </w:rPr>
        <w:t>члены Комиссии:</w:t>
      </w:r>
    </w:p>
    <w:p>
      <w:pPr>
        <w:pStyle w:val="Style7"/>
        <w:keepNext w:val="0"/>
        <w:keepLines w:val="0"/>
        <w:widowControl w:val="0"/>
        <w:shd w:val="clear" w:color="auto" w:fill="auto"/>
        <w:bidi w:val="0"/>
        <w:spacing w:before="0" w:after="0" w:line="240" w:lineRule="auto"/>
        <w:ind w:left="-4240" w:right="0" w:firstLine="700"/>
        <w:jc w:val="left"/>
        <w:sectPr>
          <w:footerReference w:type="default" r:id="rId5"/>
          <w:footnotePr>
            <w:pos w:val="pageBottom"/>
            <w:numFmt w:val="decimal"/>
            <w:numRestart w:val="continuous"/>
          </w:footnotePr>
          <w:pgSz w:w="11900" w:h="16840"/>
          <w:pgMar w:top="1158" w:right="546" w:bottom="1313" w:left="5364" w:header="730" w:footer="3" w:gutter="0"/>
          <w:pgNumType w:start="1"/>
          <w:cols w:space="720"/>
          <w:noEndnote/>
          <w:rtlGutter w:val="0"/>
          <w:docGrid w:linePitch="360"/>
        </w:sectPr>
      </w:pPr>
      <w:r>
        <w:rPr>
          <w:color w:val="000000"/>
          <w:spacing w:val="0"/>
          <w:w w:val="100"/>
          <w:position w:val="0"/>
          <w:shd w:val="clear" w:color="auto" w:fill="auto"/>
          <w:lang w:val="ru-RU" w:eastAsia="ru-RU" w:bidi="ru-RU"/>
        </w:rPr>
        <w:t>Дудина М.С. - старший государственный инспектор отдела контроля закупок и антимонопольного регулирования органов власти Управления Федеральной</w:t>
      </w:r>
    </w:p>
    <w:p>
      <w:pPr>
        <w:widowControl w:val="0"/>
        <w:spacing w:after="455" w:line="1" w:lineRule="exact"/>
      </w:pPr>
      <w:r>
        <w:drawing>
          <wp:anchor distT="0" distB="0" distL="0" distR="0" simplePos="0" relativeHeight="62914692" behindDoc="1" locked="0" layoutInCell="1" allowOverlap="1">
            <wp:simplePos x="0" y="0"/>
            <wp:positionH relativeFrom="page">
              <wp:posOffset>717550</wp:posOffset>
            </wp:positionH>
            <wp:positionV relativeFrom="paragraph">
              <wp:posOffset>12700</wp:posOffset>
            </wp:positionV>
            <wp:extent cx="1517650" cy="292735"/>
            <wp:wrapNone/>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6"/>
                    <a:stretch/>
                  </pic:blipFill>
                  <pic:spPr>
                    <a:xfrm>
                      <a:ext cx="1517650" cy="292735"/>
                    </a:xfrm>
                    <a:prstGeom prst="rect"/>
                  </pic:spPr>
                </pic:pic>
              </a:graphicData>
            </a:graphic>
          </wp:anchor>
        </w:drawing>
      </w:r>
    </w:p>
    <w:p>
      <w:pPr>
        <w:widowControl w:val="0"/>
        <w:spacing w:line="1" w:lineRule="exact"/>
        <w:sectPr>
          <w:footnotePr>
            <w:pos w:val="pageBottom"/>
            <w:numFmt w:val="decimal"/>
            <w:numRestart w:val="continuous"/>
          </w:footnotePr>
          <w:type w:val="continuous"/>
          <w:pgSz w:w="11900" w:h="16840"/>
          <w:pgMar w:top="1158" w:right="546" w:bottom="1216" w:left="1130" w:header="0" w:footer="3" w:gutter="0"/>
          <w:cols w:space="720"/>
          <w:noEndnote/>
          <w:rtlGutter w:val="0"/>
          <w:docGrid w:linePitch="360"/>
        </w:sectPr>
      </w:pPr>
    </w:p>
    <w:p>
      <w:pPr>
        <w:pStyle w:val="Style7"/>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антимонопольной службы по Курганской области,</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Чеботина М.П. - старший государственный инспектор отдела контроля закупок и антимонопольного регулирования органов власти Управления Федеральной антимонопольной службы по Курганской области;</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 участием в заседании Комиссии Курганского УФАС России посредством видеоконференцсвязи представителей:</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уполномоченного учреждения - Государственного казенного учреждения «Центр закупок и бухгалтерского учета Курганской области» (далее - ГКУ «Центр закупок и бухгалтерского учета Курганской области», Уполномоченное учреждение) Колдина А.Н., действующего на основании доверенности № 2 от 22.04.2024,</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заявителя - Общества с ограниченной ответственностью «ХАБДОРПРОЕКТ» (далее - ООО «ХАБДОРПРОЕКТ», Заявитель) в лице директора Шестакова В.О., (предьявлен паспорт, выписка из ЕГРЮЛ),</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отсутствии представителя заказчика - Муниципального казенного учреждения «Управление дорожного хозяйства и благоустройства города Кургана» (далее - МКУ «УДХБ г. Кургана», Заказчик) о времени и месте рассмотрения жалобы извещено надлежащим образом, в том числе публично, путем размещения информации о времени и месте рассмотрения жалобы в Единой информационной системы в сфере закупок (далее - ЕИС), явку представителя после перерыва не обеспечил, ходатайств о рассмотрении жалобы в отсутствие представителя не поступало,</w:t>
      </w:r>
    </w:p>
    <w:p>
      <w:pPr>
        <w:pStyle w:val="Style7"/>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рассмотрев жалобу ООО «ХАБДОРПРОЕКТ» на действия заказчика - МКУ «УДХБ г. Кургана», ГКУ «Центр закупок и бухгалтерского учета Курганской области» при осуществлении закупки путем проведения электронного аукциона на оказание услуг по разработке проектно-сметной документации для объекта: «Реконструкция автомобильной дороги по ул. Р. Зорге (на участке от ул. Свердлова до ул. Пушкина) в городе Кургане» (извещение № 0843500000224005442), руководствуясь статьями 99, 105,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Правилами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утвержденными Постановлением Правительства Российской Федерации от 01.10.2020 № 1576 (далее - Правила осуществления контроля в сфере закупок товаров, работ, услуг),</w:t>
      </w:r>
    </w:p>
    <w:p>
      <w:pPr>
        <w:pStyle w:val="Style7"/>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пункту 1 Положения о Федеральной антимонопольной службе, утвержденного Постановлением Правительства РФ от 30.06.2004 № 331 (далее - Положение), Федеральная антимонопольная служба (ФАС России) является </w:t>
      </w:r>
      <w:r>
        <w:rPr>
          <w:color w:val="000000"/>
          <w:spacing w:val="0"/>
          <w:w w:val="100"/>
          <w:position w:val="0"/>
          <w:shd w:val="clear" w:color="auto" w:fill="auto"/>
          <w:lang w:val="ru-RU" w:eastAsia="ru-RU" w:bidi="ru-RU"/>
        </w:rPr>
        <w:t>уполномоченным федеральным органом исполнительной власти, осуществляющим функции по контролю за соблюдением антимонопольного законодательства, законодательства в сфере закупок товаров, работ, услуг для обеспечения государственных и муниципальных нужд и в сфере закупок товаров, работ, услуг отдельными видами юридических лиц, а также по согласованию применения закрытых способов определения поставщиков (подрядчиков, исполнителей).</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пункта 3 Положения, Федеральная антимонопольная служба в своей деятельности руководствуется Конституцией Российской Федерации, федеральными конституционными законами, федеральными законами, актами Президента Российской Федерации и Правительства Российской Федерации, международными договорами Российской Федерации, а также настоящим Положением.</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5.3.1.12 Положения, ФАС России осуществляет контроль за соблюдением заказчиками, контрактными службами, контрактными управляющими, комиссиями по осуществлению закупок и их членами, уполномоченными органами, уполномоченными учреждениями, специализированными организациями, операторами электронных площадок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5.3.9 Положения, ФАС России рассматривает жалобы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и приостанавливает определение поставщика (подрядчика, исполнителя) и заключение контракта до рассмотрения жалобы по существу в случаях и порядке, предусмотренных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4 Положения, Федеральная антимонопольная служба осуществляет свою деятельность непосредственно и через свои территориальные органы.</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6.1.7 Положения о территориальном органе Федеральной антимонопольной службы, утвержденного Приказом ФАС России от 23.07.2015 № 649/15, территориальный орган осуществляет контроль за соблюдением заказчиками, контрактными службами, контрактными управляющими, комиссиями по осуществлению закупок и их членами, уполномоченными органами, уполномоченными учреждениями, специализированными организациями, операторами электронных площадок, а также бюджетным учреждением либо иным юридическим лицом в соответствии с частями 1, 4 и 5 статьи 15 Федерального закона от 05.04.2013 № 44-ФЗ «О контрактной системе в сфере закупок товаров, работ, услуг для обеспечения государственных и муниципальных нужд»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19.09.2024 в Курганское УФАС России поступила жалоба ООО </w:t>
      </w:r>
      <w:r>
        <w:rPr>
          <w:color w:val="000000"/>
          <w:spacing w:val="0"/>
          <w:w w:val="100"/>
          <w:position w:val="0"/>
          <w:shd w:val="clear" w:color="auto" w:fill="auto"/>
          <w:lang w:val="ru-RU" w:eastAsia="ru-RU" w:bidi="ru-RU"/>
        </w:rPr>
        <w:t>«ХАБДОРПРОЕКТ» (вх. № 4089/24 от 19.09.2024) на действия заказчика - МКУ «УБХБ г. Кургана» ГКУ «Центр закупок и бухгалтерского учета Курганской области» при осуществлении закупки путем проведения электронного аукциона на оказание услуг по разработке проектно-сметной документации для объекта: «Реконструкция автомобильной дороги по ул. Р. Зорге (на участке от ул. Свердлова до ул. Пушкина) в городе Кургане» (извещение № 0843500000224005442).</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Жалоба Заявителя подана в надлежащий срок, а также соответствует требованиям, предусмотренным статьей 105 Закона о контрактной системе.</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жалобе </w:t>
      </w:r>
      <w:r>
        <w:rPr>
          <w:b/>
          <w:bCs/>
          <w:color w:val="000000"/>
          <w:spacing w:val="0"/>
          <w:w w:val="100"/>
          <w:position w:val="0"/>
          <w:shd w:val="clear" w:color="auto" w:fill="auto"/>
          <w:lang w:val="ru-RU" w:eastAsia="ru-RU" w:bidi="ru-RU"/>
        </w:rPr>
        <w:t xml:space="preserve">Заявитель </w:t>
      </w:r>
      <w:r>
        <w:rPr>
          <w:color w:val="000000"/>
          <w:spacing w:val="0"/>
          <w:w w:val="100"/>
          <w:position w:val="0"/>
          <w:shd w:val="clear" w:color="auto" w:fill="auto"/>
          <w:lang w:val="ru-RU" w:eastAsia="ru-RU" w:bidi="ru-RU"/>
        </w:rPr>
        <w:t>указывает, что не согласен с признанием комиссией по осуществлению закупок его заявки несоответствующей требованиям извещения № 0843500000224005442.</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ООО «ХАБДОРПРОЕКТ» принимало участие в закупке (извещение № 0843500000224005442).</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Протоколом подведения итогов определения поставщика (подрядчика, исполнителя) № 0843500000224005442 от 17.09.2024 заявка № 1055886 (ООО «ХАБДОРПРОЕКТ») была отклонена по следующей причине: «фактический совокупный размер обязательств по договорам, принятых участником, в совокупности с размером предложения участника в отношении цены планируемого к заключению контракта, превышает допустимый уровень ответственности участника закупки - члена СРО..».</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Техническим заданием к закупке (Приложение № 1 к муниципальному Контракту) предметом контракта (закупки) является выполнение двух видов работ: разработка проектной и рабочей документации по объекту (раздел 2 Технического задания), а также выполнение работ по инженерным изысканиям (раздел 1 Технического задания). Таким образом стоимость контракта (предложение участника в отношении цены) состоит из двух составляющих: цены на проектные работ, а также цены на инженерные изыскания. Таким образом, фактический совокупный размер обязательств участника по договорам подряда должен оцениваться в разрезе проектных работ и работ по инженерным изысканиям обособлено (в совокупности).</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согласно сведениям из единого реестра, о членах саморегулируемых организаций и их обязательствах, ведение которого осуществляется Ассоциацией «Национальное объединение изыскателей и проектировщиков» (НОПРИЗ), Заявитель является членом двух СРО:</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 Проектное СРО (Ассоциация «СФЕРА проектировщиков»). Фактический совокупный размер обязательств члена саморегулируемой организации по договорам подряда составляет 19 044 242.09 рублей при допустимом уровне - 25 млн. рублей. Остаток допустимого размера обязательств в данном СРО по договорам подряда составляет - 5 955 757,91 рублей.</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 СРО на инженерные изыскания (Ассоциация «СФЕРА изыскателей»). Фактический совокупный размер обязательств члена саморегулируемой организации по договорам подряда составляет 19 310 000 рублей при допустимом уровне - 25 млн. рублей. Остаток допустимого размера обязательств в данном СРО по договорам подряда составляет - 5 690 000 рублей.</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совокупный остаток допустимого размера обязательств по договорам подряда по двум СРО (на проектирование и на инженерные изыскания) составляет 5 955 757,91 + 5 690 000 = 11 645 757,91 рублей.</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Размер предложения участника (ООО «ХАБДОРПРОЕКТ») в отношении цены планируемого к заключению контракта составляет 6 734 117,71 рублей, что не превышает остаток допустимого размера обязательств участника.</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Кроме того, Заявитель указывает, что Заказчик надлежащим образом не разместил полную и достоверную информацию о распределении уровня ответственности участника закупки - члена СРО, что повлекло необоснованное отклонение заявки № 1055886.</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считает, что основания, по которым комиссия по осуществлению закупок отклонила заявку ООО «ХАБДОРПРОЕКТ» надуманы, заявка полностью соответствует техническому заданию и положениям Закона о контрактной системе, незаконное отклонение заявки № 1055886 произошло вследствие грубого нарушения положений Закона.</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Помимо указанного ООО «ХАБДОРПРОЕКТ» пишет, что в результате действий Заказчика были нарушены положения Федерального Закона от 26.07.2006 № 135-Ф3 «О защите конкуренции» (далее - Закон о защите конкуренции), поскольку в результате действий Заказчика умышленно ограничивается конкуренция между участниками рынка.</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связи с вышеизложенным Заявитель просит: рассмотреть жалобу по существу в соответствии с пунктом 18.1 Закона о защите конкуренции и Законом о контрактной системе; признать закупку противоречащей положениям действующего законодательства; отменить результаты данной закупки; выдать Заказчику обязательные для исполнения предписания об устранении нарушения прав и законных интересов Заявителя, в частности проведения процедуры оценки и сопоставления заявок, а также выбора победителя закупочной процедуры в соответствии с требованиями технического задания к данной закупке и приложениями к техническому заданию; приостановить заключения контракта по результатам закупки (извещение № 0843500000224005442) до момента рассмотрения жалобы по существу.</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1 статьи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 При этом возражение на жалобу направляется в контрольный орган в сфере закупок не позднее рабочего дня, предшествующего дню рассмотрения жалобы, по существу.</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данной нормой права Курганским УФАС России у Заказчика, Уполномоченного учреждения были запрошены письменные пояснения с правовым и документальным обоснованием по доводам жалобы Заявителя.</w:t>
      </w:r>
    </w:p>
    <w:p>
      <w:pPr>
        <w:pStyle w:val="Style7"/>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 xml:space="preserve">Представитель Заказчика </w:t>
      </w:r>
      <w:r>
        <w:rPr>
          <w:color w:val="000000"/>
          <w:spacing w:val="0"/>
          <w:w w:val="100"/>
          <w:position w:val="0"/>
          <w:shd w:val="clear" w:color="auto" w:fill="auto"/>
          <w:lang w:val="ru-RU" w:eastAsia="ru-RU" w:bidi="ru-RU"/>
        </w:rPr>
        <w:t xml:space="preserve">с доводами, изложенными Заявителем в жалобе, не согласен по основаниям, изложенным в возражениях, которые приобщены к материалам дела по рассмотрению данной жалобы, и просит признать жалобу </w:t>
      </w:r>
      <w:r>
        <w:rPr>
          <w:color w:val="000000"/>
          <w:spacing w:val="0"/>
          <w:w w:val="100"/>
          <w:position w:val="0"/>
          <w:shd w:val="clear" w:color="auto" w:fill="auto"/>
          <w:lang w:val="ru-RU" w:eastAsia="ru-RU" w:bidi="ru-RU"/>
        </w:rPr>
        <w:t>необоснованной.</w:t>
      </w:r>
    </w:p>
    <w:p>
      <w:pPr>
        <w:pStyle w:val="Style7"/>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 xml:space="preserve">Представитель Уполномоченного учреждения </w:t>
      </w:r>
      <w:r>
        <w:rPr>
          <w:color w:val="000000"/>
          <w:spacing w:val="0"/>
          <w:w w:val="100"/>
          <w:position w:val="0"/>
          <w:shd w:val="clear" w:color="auto" w:fill="auto"/>
          <w:lang w:val="ru-RU" w:eastAsia="ru-RU" w:bidi="ru-RU"/>
        </w:rPr>
        <w:t>с доводами, изложенными Заявителем в жалобе, не согласен по основаниям, изложенным в возражениях, которые приобщены к материалам дела по рассмотрению данной жалобы, и просит признать жалобу необоснованной.</w:t>
      </w:r>
    </w:p>
    <w:p>
      <w:pPr>
        <w:pStyle w:val="Style7"/>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Руководствуясь статьями 99, 105, 106 Закона о контрактной системе, Комиссией Курганского УФАС России установлено</w:t>
      </w:r>
      <w:r>
        <w:rPr>
          <w:color w:val="000000"/>
          <w:spacing w:val="0"/>
          <w:w w:val="100"/>
          <w:position w:val="0"/>
          <w:shd w:val="clear" w:color="auto" w:fill="auto"/>
          <w:lang w:val="ru-RU" w:eastAsia="ru-RU" w:bidi="ru-RU"/>
        </w:rPr>
        <w:t>, что 06.09.2024 на официальном сайте Единой информационной системы в сфере закупок (11Пр^///акир1&lt;1.доу.П1) (ЕИС) опубликовано извещение № 0843500000224005442 о проведении электронного аукциона на казание услуг по разработке проектно</w:t>
        <w:softHyphen/>
        <w:t>сметной документации для объекта: «Реконструкция автомобильной дороги по ул. Р. Зорге (на участке от ул. Свердлова до ул. Пушкина) в городе Кургане».</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Размещение осуществляется Уполномоченным учреждением - Государственным казенным учреждением «Центр закупок и бухгалтерского учета Курганской области».</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 - Муниципальное казенное учреждение «Управление дорожного хозяйства и благоустройства города Кургана».</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- 8 064 811,67 рублей.</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и время окончания срока подачи заявок: 16.09.2024 07:00 (МСК+2).</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подведения итогов определения поставщика (подрядчика, исполнителя) - 18.09.2024.</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17.09.2024 в 17:03 (МСК+2) в извещении размещен Протокол подведения итогов определения поставщика (подрядчика, исполнителя) № 0843500000224005442, согласно которому по окончании срока подачи заявок на участие в закупке подано 4 заявки на участие в закупке, одна из которых признана комиссией по осуществлению закупок не соответствующей требованиям извещения.</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момент рассмотрения жалобы контракт не заключен.</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Оценивая доводы Заявителя, изложенные в жалобе, а также документы и сведения, представленные Заказчиком и Уполномоченным учреждением, приобщенные к материалам дела по рассмотрению жалобы, Комиссия Курганского УФАС России приходит к следующим выводам.</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Правоотношения, связанные с обеспечением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регламентируются Законом о контрактной системе.</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статье 7 Закона о контрактной системе, в Российской Федерации обеспечивается свободный и безвозмездный доступ к информации о контрактной системе в сфере закупок.</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Открытость и прозрачность информации, указанной в части 1 данной статьи, обеспечиваются, в частности, путем ее размещения в единой информационной системе.</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Информация, предусмотренная Законом и размещенная в единой </w:t>
      </w:r>
      <w:r>
        <w:rPr>
          <w:color w:val="000000"/>
          <w:spacing w:val="0"/>
          <w:w w:val="100"/>
          <w:position w:val="0"/>
          <w:shd w:val="clear" w:color="auto" w:fill="auto"/>
          <w:lang w:val="ru-RU" w:eastAsia="ru-RU" w:bidi="ru-RU"/>
        </w:rPr>
        <w:t>информационной системе, должна быть полной и достоверной.</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в том числе приводят к ограничению конкуренции, в частности к необоснованному ограничению числа участников закупок.</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Частью 1 статьи 24 Закона о контрактной системе, определено, что заказчики при осуществлении закупок применяют конкурентные способы определения поставщиков (подрядчиков, исполнителей) или осуществляют закупки у единственного поставщика (подрядчика, исполнителя).</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Конкурентными способами являются:</w:t>
      </w:r>
    </w:p>
    <w:p>
      <w:pPr>
        <w:pStyle w:val="Style7"/>
        <w:keepNext w:val="0"/>
        <w:keepLines w:val="0"/>
        <w:widowControl w:val="0"/>
        <w:numPr>
          <w:ilvl w:val="0"/>
          <w:numId w:val="1"/>
        </w:numPr>
        <w:shd w:val="clear" w:color="auto" w:fill="auto"/>
        <w:tabs>
          <w:tab w:pos="110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конкурсы (открытый конкурс в электронной форме, закрытый конкурс, закрытый конкурс в электронной форме);</w:t>
      </w:r>
    </w:p>
    <w:p>
      <w:pPr>
        <w:pStyle w:val="Style7"/>
        <w:keepNext w:val="0"/>
        <w:keepLines w:val="0"/>
        <w:widowControl w:val="0"/>
        <w:numPr>
          <w:ilvl w:val="0"/>
          <w:numId w:val="1"/>
        </w:numPr>
        <w:shd w:val="clear" w:color="auto" w:fill="auto"/>
        <w:tabs>
          <w:tab w:pos="110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аукционы (открытый аукцион в электронной форме, закрытый аукцион, закрытый аукцион в электронной форме);</w:t>
      </w:r>
    </w:p>
    <w:p>
      <w:pPr>
        <w:pStyle w:val="Style7"/>
        <w:keepNext w:val="0"/>
        <w:keepLines w:val="0"/>
        <w:widowControl w:val="0"/>
        <w:numPr>
          <w:ilvl w:val="0"/>
          <w:numId w:val="1"/>
        </w:numPr>
        <w:shd w:val="clear" w:color="auto" w:fill="auto"/>
        <w:tabs>
          <w:tab w:pos="110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запрос котировок в электронной форме (часть 2 статьи 24 Закона о контрактной системе).</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 1 статьи 49 Закона о контрактной системе, гласит, что электронный аукцион начинается с размещения в единой информационной системе извещения об осуществлении закупки.</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части 1 статьи 42 Закона о контрактной системе, перечислен перечень сведений, которые должны быть указаны в извещении при осуществлении закупки путем проведения открытых конкурентных способов.</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 2 статьи 42 Закона о контрактной системе, прямо указывает на то какие именно электронные документы должны быть размещены в составе извещения об осуществлении закупки, в том числе: требования к содержанию, составу заявки на участие в закупке в соответствии с Законом и инструкция по ее заполнению.</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06.09.2024 Уполномоченным учреждением размещено извещение № 0843500000224005442 на оказание услуг по разработке проектно-сметной документации для объекта: «Реконструкция автомобильной дороги по ул. Р. Зорге (на участке от ул. Свердлова до ул. Пушкина) в городе Кургане» в ЕИС.</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соответствии с положениями части 2 статьи 42 Закона о контрактной </w:t>
      </w:r>
      <w:r>
        <w:rPr>
          <w:color w:val="000000"/>
          <w:spacing w:val="0"/>
          <w:w w:val="100"/>
          <w:position w:val="0"/>
          <w:shd w:val="clear" w:color="auto" w:fill="auto"/>
          <w:lang w:val="ru-RU" w:eastAsia="ru-RU" w:bidi="ru-RU"/>
        </w:rPr>
        <w:t>системе в составе извещения размещены следующие документы:</w:t>
      </w:r>
    </w:p>
    <w:p>
      <w:pPr>
        <w:pStyle w:val="Style7"/>
        <w:keepNext w:val="0"/>
        <w:keepLines w:val="0"/>
        <w:widowControl w:val="0"/>
        <w:numPr>
          <w:ilvl w:val="0"/>
          <w:numId w:val="3"/>
        </w:numPr>
        <w:shd w:val="clear" w:color="auto" w:fill="auto"/>
        <w:tabs>
          <w:tab w:pos="95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Обоснование начальной (максимальной) цены контракта;</w:t>
      </w:r>
    </w:p>
    <w:p>
      <w:pPr>
        <w:pStyle w:val="Style7"/>
        <w:keepNext w:val="0"/>
        <w:keepLines w:val="0"/>
        <w:widowControl w:val="0"/>
        <w:numPr>
          <w:ilvl w:val="0"/>
          <w:numId w:val="3"/>
        </w:numPr>
        <w:shd w:val="clear" w:color="auto" w:fill="auto"/>
        <w:tabs>
          <w:tab w:pos="95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Проект контракта;</w:t>
      </w:r>
    </w:p>
    <w:p>
      <w:pPr>
        <w:pStyle w:val="Style7"/>
        <w:keepNext w:val="0"/>
        <w:keepLines w:val="0"/>
        <w:widowControl w:val="0"/>
        <w:numPr>
          <w:ilvl w:val="0"/>
          <w:numId w:val="3"/>
        </w:numPr>
        <w:shd w:val="clear" w:color="auto" w:fill="auto"/>
        <w:tabs>
          <w:tab w:pos="95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Приложение к проекту контракта (график оказания услуг);</w:t>
      </w:r>
    </w:p>
    <w:p>
      <w:pPr>
        <w:pStyle w:val="Style7"/>
        <w:keepNext w:val="0"/>
        <w:keepLines w:val="0"/>
        <w:widowControl w:val="0"/>
        <w:numPr>
          <w:ilvl w:val="0"/>
          <w:numId w:val="3"/>
        </w:numPr>
        <w:shd w:val="clear" w:color="auto" w:fill="auto"/>
        <w:tabs>
          <w:tab w:pos="95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Приложение к проекту контракта (форма акта);</w:t>
      </w:r>
    </w:p>
    <w:p>
      <w:pPr>
        <w:pStyle w:val="Style7"/>
        <w:keepNext w:val="0"/>
        <w:keepLines w:val="0"/>
        <w:widowControl w:val="0"/>
        <w:numPr>
          <w:ilvl w:val="0"/>
          <w:numId w:val="3"/>
        </w:numPr>
        <w:shd w:val="clear" w:color="auto" w:fill="auto"/>
        <w:tabs>
          <w:tab w:pos="95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Приложение №1 - Техническое задание Р. Зорге;</w:t>
      </w:r>
    </w:p>
    <w:p>
      <w:pPr>
        <w:pStyle w:val="Style7"/>
        <w:keepNext w:val="0"/>
        <w:keepLines w:val="0"/>
        <w:widowControl w:val="0"/>
        <w:numPr>
          <w:ilvl w:val="0"/>
          <w:numId w:val="3"/>
        </w:numPr>
        <w:shd w:val="clear" w:color="auto" w:fill="auto"/>
        <w:tabs>
          <w:tab w:pos="95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Требования к содержанию и составу заявки на участие в аукционе.</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пункта 1 части 1 статьи 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Закона о контрактной системе, заказчик устанавливает в том числе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Курганского УФАС России установлено, что в рассматриваемом случае объектом закупки является - оказание услуг по разработке проектно-сметной документации для объекта: «Реконструкция автомобильной дороги по ул. Р. Зорге (на участке от ул. Свердлова до ул. Пушкина) в городе Кургане».</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4 статьи 48 Градостроительного кодекса Российской Федерации (ГрК РФ) работы по договорам о подготовке проектной документации, внесению изменений в проектную документацию в соответствии с частями 3.8 и 3.9 статьи 49 ГрК РФ, заключенным с застройщиком, техническим заказчиком, лицом, ответственным за эксплуатацию здания, сооружения, региональным оператором,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архитектурно-строительного проектирования, если иное не предусмотрено этой статьей.</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Как следует из пояснений представителей Уполномоченного учреждения и Заказчика, во исполнение вышеуказанных норм Градостроительного кодекса Российской Федерации при проведении рассматриваемой закупки было установлено требование, что участник закупки должен являться членом саморегулируемой организации, основанной на членстве лиц, осуществляющих подготовку проектной документации (далее - СРО) и иметь право осуществлять подготовку проектной документации по договору подряда на подготовку проектной документации, заключаемому с использованием конкурентных способов заключения договоров при этом:</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 уровень ответственности участника закупки - члена СРО по обязательствам по договору на подготовку проектной документации, в соответствии с которыми указанным членом внесен взнос в компенсационный фонд возмещения вреда, должен соответствовать требованиям части 10 статьи 55.16 ГрК РФ;</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2) уровень ответственности участника закупки - члена СРО по обязательствам по договорам на подготовку проектной документации, заключаемым с использованием конкурентных способов заключения договоров, в соответствии с </w:t>
      </w:r>
      <w:r>
        <w:rPr>
          <w:color w:val="000000"/>
          <w:spacing w:val="0"/>
          <w:w w:val="100"/>
          <w:position w:val="0"/>
          <w:shd w:val="clear" w:color="auto" w:fill="auto"/>
          <w:lang w:val="ru-RU" w:eastAsia="ru-RU" w:bidi="ru-RU"/>
        </w:rPr>
        <w:t>которым указанным членом внесен взнос в компенсационный фонд обеспечения договорных обязательств, должен соответствовать требованиям пункта 2 части 3 статьи 55.8 и части 11 статьи 55.16 ГрК РФ.</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Соответствие установленному требованию подтверждается сведениями, содержащимися в едином реестре сведений о членах саморегулируемых организаций и их обязательствах, ведение которого осуществляется Ассоциацией «Национальное объединение изыскателей и проектировщиков» (НОПРИЗ) в соответствии с постановлением Правительства Российской Федерации от 25.05.2022 № 945.</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части 3 статьи 55.8 ГрК РФ член саморегулируемой организации имеет право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по договору подряда на осуществление сноса, заключаемым с использованием конкурентных способов заключения договоров, при соблюдении в совокупности следующих условий:</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 наличие у саморегулируемой организации, членом которой является такое лицо, компенсационного фонда обеспечения договорных обязательств, сформированного в соответствии со статьями 55.4 и 55.16 ГрК РФ;</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 если совокупный размер обязательств по указанным в абзаце первом этой части договорам не превышает предельный размер обязательств, исходя из которого таким лицом был внесен взнос в компенсационный фонд обеспечения договорных обязательств в соответствии с частью 11 или 13 статьи 55.16 ГрК РФ. Количество договоров подряда на выполнение инженерных изысканий, подготовку проектной документации, договоров строительного подряда, договоров подряда на осуществление сноса, которые могут быть заключены членом саморегулируемой организации с использованием конкурентных способов заключения договоров, не ограничивается.</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Член саморегулируемой организации самостоятельно при необходимости увеличения размера внесенного им взноса в компенсационный фонд обеспечения договорных обязательств до следующего уровня ответственности, предусмотренного частью 11 или 13 статьи 55.16 ГрК РФ, обязан вносить дополнительный взнос в компенсационный фонд обеспечения договорных обязательств в порядке, установленном внутренними документами саморегулируемой организации (часть 5 статьи 55.8 ГрК РФ).</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части 6 статьи 55.8 ГрК РФ член саморегулируемой организации, не уплативший указанный в части 5 статьи 55.8 ГрК РФ дополнительный взнос в компенсационный фонд обеспечения договорных обязательств, не имеет права принимать участие в заключении новых договоров подряда на выполнение инженерных изысканий, подготовку проектной документации, договоров строительного подряда, договоров подряда на осуществление сноса с использованием конкурентных способов заключения договоров.</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ходе заседания Комиссии Курганского УФАС России представитель </w:t>
      </w:r>
      <w:r>
        <w:rPr>
          <w:color w:val="000000"/>
          <w:spacing w:val="0"/>
          <w:w w:val="100"/>
          <w:position w:val="0"/>
          <w:shd w:val="clear" w:color="auto" w:fill="auto"/>
          <w:lang w:val="ru-RU" w:eastAsia="ru-RU" w:bidi="ru-RU"/>
        </w:rPr>
        <w:t>Уполномоченного учреждения пояснил, что при оценке заявок участников электронного аукциона, в том числе -заявки ООО «ХАБДОРПРОЕКТ» комиссия по осуществлению закупок руководствовалась указанными нормами ГрК РФ.</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Заявителем в ходе аукциона была предложена цена контракта - 6 734 117,71 рублей.</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сведениям из единого реестра о членах саморегулируемых организаций и их обязательствах, ведение которого осуществляется Ассоциацией «Национальное объединение изыскателей и проектировщиков» (НОПРИЗ) фактический совокупный размер обязательств по договорам, принятых участником составляет 19 044 242,09 рублей.</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в совокупности с размером предложения Заявителя в отношении цены планируемого к заключению контракта, совокупный размер обязательств по договорам, принятых участником, а именно 25 778 359,8 рублей, превышает допустимый уровень ответственности участника закупки - члена СРО по обязательствам по договорам на подготовку проектной документации, заключаемым с использованием конкурентных способов заключения договоров, который составляет 25 млн. рублей, следовательно, при заключении контракта по итогам спорного аукциона, учитывая ценовое предложение Заявителя, будет превышен предельный (совокупный) размер обязательств по договорам, заключенным с использованием конкурентных способов закупок, то есть сумма обязательств перестанет соответствовать уровню ответственности Заявителя.</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Курганского УФАС России отмечает, что обозначенный подход к оценке заявок участников конкурентной процедуры соответствует положениям Закона о контрактной системе.</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7"/>
        <w:keepNext w:val="0"/>
        <w:keepLines w:val="0"/>
        <w:widowControl w:val="0"/>
        <w:numPr>
          <w:ilvl w:val="0"/>
          <w:numId w:val="5"/>
        </w:numPr>
        <w:shd w:val="clear" w:color="auto" w:fill="auto"/>
        <w:tabs>
          <w:tab w:pos="105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члены комиссии по осуществлению закупок:</w:t>
      </w:r>
    </w:p>
    <w:p>
      <w:pPr>
        <w:pStyle w:val="Style7"/>
        <w:keepNext w:val="0"/>
        <w:keepLines w:val="0"/>
        <w:widowControl w:val="0"/>
        <w:numPr>
          <w:ilvl w:val="0"/>
          <w:numId w:val="7"/>
        </w:numPr>
        <w:shd w:val="clear" w:color="auto" w:fill="auto"/>
        <w:tabs>
          <w:tab w:pos="104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 пунктом 4 части 4 этой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w:t>
      </w:r>
    </w:p>
    <w:p>
      <w:pPr>
        <w:pStyle w:val="Style7"/>
        <w:keepNext w:val="0"/>
        <w:keepLines w:val="0"/>
        <w:widowControl w:val="0"/>
        <w:numPr>
          <w:ilvl w:val="0"/>
          <w:numId w:val="7"/>
        </w:numPr>
        <w:shd w:val="clear" w:color="auto" w:fill="auto"/>
        <w:tabs>
          <w:tab w:pos="107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на основании информации, содержащейся в протоколе подачи ценовых предложений, а также результатов рассмотрения, предусмотренного подпунктом «а» этого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этой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этой статьи, присваиваются в </w:t>
      </w:r>
      <w:r>
        <w:rPr>
          <w:color w:val="000000"/>
          <w:spacing w:val="0"/>
          <w:w w:val="100"/>
          <w:position w:val="0"/>
          <w:shd w:val="clear" w:color="auto" w:fill="auto"/>
          <w:lang w:val="ru-RU" w:eastAsia="ru-RU" w:bidi="ru-RU"/>
        </w:rPr>
        <w:t>порядке убывания размера ценового предложения участника закупки), и с учетом положений нормативных правовых актов, принятых в соответствии со статьей 14 Закона. Заявке на участие в закупке победителя определения поставщика (подрядчика, исполнителя) присваивается первый номер;</w:t>
      </w:r>
    </w:p>
    <w:p>
      <w:pPr>
        <w:pStyle w:val="Style7"/>
        <w:keepNext w:val="0"/>
        <w:keepLines w:val="0"/>
        <w:widowControl w:val="0"/>
        <w:numPr>
          <w:ilvl w:val="0"/>
          <w:numId w:val="9"/>
        </w:numPr>
        <w:shd w:val="clear" w:color="auto" w:fill="auto"/>
        <w:tabs>
          <w:tab w:pos="109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 8 статьи 31 Закона о контрактной системе гласит, что комиссия по осуществлению закупок или заказчик (при осуществлении закупки у единственного поставщика (подрядчика, исполнителя) в случаях, предусмотренных частью 1 этой статьи) проверяет соответствие участников закупок требованиям, указанным в пунктах 1 и 7.1, пункте 10 (за исключением случаев проведения электронных процедур), пункте 10.1 части 1 и части 1.1 (при наличии такого требования) этой статьи, требованиям, предусмотренным частями 2 и 2.1 этой статьи (при осуществлении закупок, в отношении участников которых в соответствии с частями 2 и 2.1 этой статьи установлены дополнительные требования). Комиссия по осуществлению закупок или заказчик (при осуществлении закупки у единственного поставщика (подрядчика, исполнителя) в случаях, предусмотренных частью 1 этой статьи) вправе проверять соответствие участников закупок требованиям, указанным в пунктах 3 - 5, 7, 8, 9, 11 части 1 этой статьи, а также при проведении электронных процедур требованию, указанному в пункте 10 части 1 этой статьи. Комиссия по осуществлению закупок или заказчик не вправе возлагать на участников закупок обязанность подтверждать соответствие указанным требованиям, за исключением случаев, если указанные требования установлены Правительством Российской Федерации в соответствии с частями 2 и 2.1 этой статьи.</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проверка соответствия требованиям, установленным в извещении № 0843500000224005442, проведена комиссией по осуществлению закупок правомерно.</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Относительно факта установления несоответствия Заявителя требованиям, установленным в извещении рассматриваемой закупки, Комиссия Курганского УФАС России отмечает следующее.</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Извещение № 0843500000224005442 содержит такие требования к участникам:</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«1. Требование к участникам закупок в соответствии с пунктом 1 части 1 статьи 31 Закона: Дополнительные требования: На основании статьи 55.8 Градостроительного Кодекса Российской Федерации (далее - ГрК РФ) участник закупки должен являться членом саморегулируемой организации, основанной на членстве лиц, осуществляющих подготовку проектной документации (далее - СРО) и иметь право осуществлять подготовку проектной документации по договору подряда на подготовку проектной документации, заключаемому с использованием конкурентных способов заключения договоров при этом: 1) уровень </w:t>
      </w:r>
      <w:r>
        <w:rPr>
          <w:color w:val="000000"/>
          <w:spacing w:val="0"/>
          <w:w w:val="100"/>
          <w:position w:val="0"/>
          <w:shd w:val="clear" w:color="auto" w:fill="auto"/>
          <w:lang w:val="ru-RU" w:eastAsia="ru-RU" w:bidi="ru-RU"/>
        </w:rPr>
        <w:t>ответственности участника закупки - члена СРО по обязательствам по договору на подготовку проектной документации, в соответствии с которыми указанным членом внесен взнос в компенсационный фонд возмещения вреда, должен соответствовать требованиям части 10 статьи 55.16 ГрК РФ; 2) уровень ответственности участника закупки - члена СРО по обязательствам по договорам на подготовку проектной документации, заключаемым с использованием конкурентных способов заключения договоров, в соответствии с которым указанным членом внесен взнос в компенсационный фонд обеспечения договорных обязательств, должен соответствовать требованиям пункта 2 части 3 статьи 55.8 и части 11 статьи 55.16 ГрК РФ; Требование не распространяется на участников закупки, входящих в перечень лиц, установленный частью 4.1. статьи 48 ГрК РФ. Соответствие установленному требованию подтверждается сведениями, содержащимися в едином реестре сведений о членах саморегулируемых организаций и их обязательствах, ведение которого осуществляется Ассоциацией «Национальное объединение изыскателей и проектировщиков» (НОПРИЗ) в соответствии с постановлением Правительства Российской Федерации от 25 мая 2022 года № 945 (предоставление в составе заявки не требуется).</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 Требования к участникам закупок в соответствии с часть 2 статьи 31 Закона: Требования в соответствии с позицией 6 раздела II приложения к ПП РФ от 29.12.2021 № 2571: Дополнительные требования: Наличие опыта исполнения участником закупки договора, предусматривающего выполнение работ по подготовке проектной документации и (или) выполнению инженерных изысканий в соответствии с законодательством о градостроительной деятельности. Цена выполненных работ по договору должна составлять не менее 20 процентов от начальной (максимальной) цены контракта, заключаемого по результатам определения поставщика (подрядчика, исполнителя). Информация и документы, подтверждающие соответствие участников закупки дополнительным требованиям: 1) исполненный договор; 2) акт выполненных работ, подтверждающий цену выполненных работ; 3) положительное заключение экспертизы проектной документации и (или) результатов инженерных изысканий (за исключением случаев, при которых такое заключение не выдается в соответствии с законодательством о градостроительной деятельности).».</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комиссия по осуществлению закупок при оценке заявок участников закупки, в том числе Заявителя, соотносила ее содержание с указанными требованиями, что участник закупки должен быть членом СРО осуществляющим подготовку проектной документации.</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Кроме того, оценивая доводы Заявителя о наличии у него членства в двух СРО, Комиссией контрольного органа в сфере закупок установлено, что требование о наличии у участника закупки членства в СРО, осуществляющих инженерные изыскания, в извещении установлено не было.</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Исходя из положений Закона о контрактной системе, комиссия по осуществлению закупок оценивает заявку участника конкурентной процедуры на соответствие требованиям Закона и требованиям, установленным Заказчиком в конкретном извещении.</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Следовательно, несмотря на тот факт, что положениями Технического задания предусмотрено выполнение инженерных изысканий, но поскольку требование к участникам установлено только о членстве в саморегулируемой организации, основанной на членстве лиц, осуществляющих подготовку проектной документации, комиссия по осуществлению закупок в соответствии с частью 8 статьи 31 Закона о контрактной системе проверяла заявки участников на выполнение данного требования.</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изложенного, Комиссия Курганского УФАС России приходит к выводу о необоснованности довода Заявителя о неправомерном признании его заявки несоответствующей.</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части ссылки ООО «ХАБДОРПРОЕКТ» на нарушения статьи 17 Закона о защите конкуренции, Комиссия Курганского УФАС России отмечает следующее.</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Федеральный закон от 26.07.2006 № 135-ФЗ «О защите конкуренции» распространяется на отношения, которые связаны с защитой конкуренции, в том числе с предупреждением и пресечением монополистической деятельности и недобросовестной конкуренции, и в которых участвуют российские юридические лица и иностранные юридические лица, организации, федеральные органы исполнительной власти, органы государственной власти субъектов Российской Федерации, органы местного самоуправления, иные осуществляющие функции указанных органов органы или организации, а также государственные внебюджетные фонды, Центральный банк Российской Федерации, физические лица, в том числе индивидуальные предприниматели.</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Организационные и правовые основы защиты конкуренции регулируются названным выше Законом о защите конкуренции.</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случае поступления в антимонопольный орган заявлений и материалов, свидетельствующих о признаках нарушения антимонопольного законодательства в действиях каких-либо субъектов, антимонопольный орган может признать нарушения обозначенного законодательства исключительно на основании решения, принятого комиссией по результатам рассмотрения дела о нарушении антимонопольного законодательства.</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Для принятия решения о наличие нарушения антимонопольного законодательства необходимо установить, в чем выразилось данное нарушение, обстоятельства, которые повлекли это нарушение, и каким образом была нарушена конкуренция.</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Порядок рассмотрения заявлений, поданных в антимонопольный орган о наличии признаков нарушения антимонопольного законодательства, установлен Главой 9 Закона о защите конкуренции.</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А именно, рассмотрение заявления и возбуждение дела о нарушении антимонопольного законодательства осуществляется антимонопольным органом в порядке, предусмотренном статьей 44 Закона о защите конкуренции, которая также содержит требования к форме и порядку подачи указанного заявления.</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1 статьи 44 Закона о защите конкуренции заявление, которое подается в антимонопольный орган, должно содержать следующие сведения:</w:t>
      </w:r>
    </w:p>
    <w:p>
      <w:pPr>
        <w:pStyle w:val="Style7"/>
        <w:keepNext w:val="0"/>
        <w:keepLines w:val="0"/>
        <w:widowControl w:val="0"/>
        <w:numPr>
          <w:ilvl w:val="0"/>
          <w:numId w:val="11"/>
        </w:numPr>
        <w:shd w:val="clear" w:color="auto" w:fill="auto"/>
        <w:tabs>
          <w:tab w:pos="21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сведения о заявителе (фамилия, имя, отчество и адрес места жительства для </w:t>
      </w:r>
      <w:r>
        <w:rPr>
          <w:color w:val="000000"/>
          <w:spacing w:val="0"/>
          <w:w w:val="100"/>
          <w:position w:val="0"/>
          <w:shd w:val="clear" w:color="auto" w:fill="auto"/>
          <w:lang w:val="ru-RU" w:eastAsia="ru-RU" w:bidi="ru-RU"/>
        </w:rPr>
        <w:t>физического лица; наименование и место нахождения для юридического лица);</w:t>
      </w:r>
    </w:p>
    <w:p>
      <w:pPr>
        <w:pStyle w:val="Style7"/>
        <w:keepNext w:val="0"/>
        <w:keepLines w:val="0"/>
        <w:widowControl w:val="0"/>
        <w:numPr>
          <w:ilvl w:val="0"/>
          <w:numId w:val="11"/>
        </w:numPr>
        <w:shd w:val="clear" w:color="auto" w:fill="auto"/>
        <w:tabs>
          <w:tab w:pos="98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имеющиеся у заявителя сведения о лице, в отношении которого подано заявление;</w:t>
      </w:r>
    </w:p>
    <w:p>
      <w:pPr>
        <w:pStyle w:val="Style7"/>
        <w:keepNext w:val="0"/>
        <w:keepLines w:val="0"/>
        <w:widowControl w:val="0"/>
        <w:numPr>
          <w:ilvl w:val="0"/>
          <w:numId w:val="11"/>
        </w:numPr>
        <w:shd w:val="clear" w:color="auto" w:fill="auto"/>
        <w:tabs>
          <w:tab w:pos="98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описание нарушения антимонопольного законодательства;</w:t>
      </w:r>
    </w:p>
    <w:p>
      <w:pPr>
        <w:pStyle w:val="Style7"/>
        <w:keepNext w:val="0"/>
        <w:keepLines w:val="0"/>
        <w:widowControl w:val="0"/>
        <w:numPr>
          <w:ilvl w:val="0"/>
          <w:numId w:val="11"/>
        </w:numPr>
        <w:shd w:val="clear" w:color="auto" w:fill="auto"/>
        <w:tabs>
          <w:tab w:pos="98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существо требований, с которыми заявитель обращается;</w:t>
      </w:r>
    </w:p>
    <w:p>
      <w:pPr>
        <w:pStyle w:val="Style7"/>
        <w:keepNext w:val="0"/>
        <w:keepLines w:val="0"/>
        <w:widowControl w:val="0"/>
        <w:numPr>
          <w:ilvl w:val="0"/>
          <w:numId w:val="11"/>
        </w:numPr>
        <w:shd w:val="clear" w:color="auto" w:fill="auto"/>
        <w:tabs>
          <w:tab w:pos="98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перечень прилагаемых документов.</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рассмотрении заявления или материалов антимонопольный орган: определяет, относится ли рассмотрение заявления или материалов к его компетенции; устанавливает наличие признаков нарушения антимонопольного законодательства и определяет нормы, которые подлежат применению (часть 5 статьи 44 Закона о защите конкуренции).</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Учитывая изложенное, в рамках Главы 9 Закона о защите конкуренции могут быть рассмотрены действия каких-либо субъектов исключительно на предмет их соответствия антимонопольному законодательству, а именно, на наличие в таких действиях признаков, которые приводят или могут привести к недопущению, ограничению или устранению конкуренции.</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Однако, указанная выше жалоба ООО «ХАБДОРПРОЕКТ» подана в Курганское УФАС России в порядке, установленном Законом о контрактной системе.</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Следовательно, в рамках рассмотрения обозначенной жалобы нарушение антимонопольного законодательства при проведении конкурентной процедуры не может быть установлено.</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Иными словами, в том случае, если в действиях заказчика податель жалобы усматривает признаки нарушения Закона о защите конкуренции, последнему следует обратиться в антимонопольный орган с заявлением, соответствующим требованиям статьи 44 упомянутого выше Закона о защите конкуренции.</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Проанализировав содержание извещения № 0843500000224005442, а также представленные сторонами пояснения и документы, руководствуясь нормами действующего законодательства, Комиссия Курганского УФАС России приходит к выводу о необоснованности жалобы Заявителя.</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рамках проведения внеплановой проверки Комиссией Курганского УФАС России в действиях субъектов контроля нарушений требований Закона о контрактной системе не установлено.</w:t>
      </w:r>
    </w:p>
    <w:p>
      <w:pPr>
        <w:pStyle w:val="Style7"/>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Исследовав предоставленные материалы, руководствуясь Законом о контрактной системе, Комиссия Курганского УФАС России,</w:t>
      </w:r>
    </w:p>
    <w:p>
      <w:pPr>
        <w:pStyle w:val="Style7"/>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7"/>
        <w:keepNext w:val="0"/>
        <w:keepLines w:val="0"/>
        <w:widowControl w:val="0"/>
        <w:shd w:val="clear" w:color="auto" w:fill="auto"/>
        <w:bidi w:val="0"/>
        <w:spacing w:before="0" w:after="320" w:line="240" w:lineRule="auto"/>
        <w:ind w:left="0" w:right="0" w:firstLine="720"/>
        <w:jc w:val="both"/>
      </w:pPr>
      <w:r>
        <w:rPr>
          <w:color w:val="000000"/>
          <w:spacing w:val="0"/>
          <w:w w:val="100"/>
          <w:position w:val="0"/>
          <w:shd w:val="clear" w:color="auto" w:fill="auto"/>
          <w:lang w:val="ru-RU" w:eastAsia="ru-RU" w:bidi="ru-RU"/>
        </w:rPr>
        <w:t>Признать жалобу Общества с ограниченной ответственностью «ХАБДОРПРОЕКТ» необоснованной.</w:t>
      </w:r>
    </w:p>
    <w:p>
      <w:pPr>
        <w:pStyle w:val="Style16"/>
        <w:keepNext w:val="0"/>
        <w:keepLines w:val="0"/>
        <w:widowControl w:val="0"/>
        <w:shd w:val="clear" w:color="auto" w:fill="auto"/>
        <w:bidi w:val="0"/>
        <w:spacing w:before="0" w:line="240" w:lineRule="auto"/>
        <w:ind w:left="0" w:right="0"/>
        <w:jc w:val="both"/>
        <w:sectPr>
          <w:footerReference w:type="default" r:id="rId8"/>
          <w:footnotePr>
            <w:pos w:val="pageBottom"/>
            <w:numFmt w:val="decimal"/>
            <w:numRestart w:val="continuous"/>
          </w:footnotePr>
          <w:pgSz w:w="11900" w:h="16840"/>
          <w:pgMar w:top="1105" w:right="539" w:bottom="1294" w:left="1103" w:header="677" w:footer="3" w:gutter="0"/>
          <w:cols w:space="720"/>
          <w:noEndnote/>
          <w:rtlGutter w:val="0"/>
          <w:docGrid w:linePitch="360"/>
        </w:sectPr>
      </w:pPr>
      <w:r>
        <w:rPr>
          <w:color w:val="000000"/>
          <w:spacing w:val="0"/>
          <w:w w:val="100"/>
          <w:position w:val="0"/>
          <w:sz w:val="24"/>
          <w:szCs w:val="24"/>
          <w:shd w:val="clear" w:color="auto" w:fill="auto"/>
          <w:lang w:val="ru-RU" w:eastAsia="ru-RU" w:bidi="ru-RU"/>
        </w:rPr>
        <w:t>В соответствии с частью 9 статьи 106 Закона о контрактной системе, решение может быть обжаловано в судебном порядке в течение трех месяцев с даты его принятия.</w:t>
      </w:r>
    </w:p>
    <w:p>
      <w:pPr>
        <w:pStyle w:val="Style7"/>
        <w:keepNext w:val="0"/>
        <w:keepLines w:val="0"/>
        <w:framePr w:w="2933" w:h="389" w:wrap="none" w:hAnchor="page" w:x="1160"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p>
      <w:pPr>
        <w:pStyle w:val="Style18"/>
        <w:keepNext w:val="0"/>
        <w:keepLines w:val="0"/>
        <w:framePr w:w="2712" w:h="403" w:wrap="none" w:hAnchor="page" w:x="4875" w:y="275"/>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p>
      <w:pPr>
        <w:pStyle w:val="Style7"/>
        <w:keepNext w:val="0"/>
        <w:keepLines w:val="0"/>
        <w:framePr w:w="1656" w:h="370" w:wrap="none" w:hAnchor="page" w:x="9670" w:y="395"/>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А.В. Иванова</w:t>
      </w:r>
    </w:p>
    <w:p>
      <w:pPr>
        <w:widowControl w:val="0"/>
        <w:spacing w:line="360" w:lineRule="exact"/>
      </w:pPr>
      <w:r>
        <w:drawing>
          <wp:anchor distT="0" distB="0" distL="0" distR="1786255" simplePos="0" relativeHeight="62914695" behindDoc="1" locked="0" layoutInCell="1" allowOverlap="1">
            <wp:simplePos x="0" y="0"/>
            <wp:positionH relativeFrom="page">
              <wp:posOffset>2683510</wp:posOffset>
            </wp:positionH>
            <wp:positionV relativeFrom="margin">
              <wp:posOffset>82550</wp:posOffset>
            </wp:positionV>
            <wp:extent cx="347345" cy="396240"/>
            <wp:wrapNone/>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347345" cy="396240"/>
                    </a:xfrm>
                    <a:prstGeom prst="rect"/>
                  </pic:spPr>
                </pic:pic>
              </a:graphicData>
            </a:graphic>
          </wp:anchor>
        </w:drawing>
      </w:r>
    </w:p>
    <w:p>
      <w:pPr>
        <w:widowControl w:val="0"/>
        <w:spacing w:after="402" w:line="1" w:lineRule="exact"/>
      </w:pPr>
    </w:p>
    <w:p>
      <w:pPr>
        <w:widowControl w:val="0"/>
        <w:spacing w:line="1" w:lineRule="exact"/>
        <w:sectPr>
          <w:footnotePr>
            <w:pos w:val="pageBottom"/>
            <w:numFmt w:val="decimal"/>
            <w:numRestart w:val="continuous"/>
          </w:footnotePr>
          <w:pgSz w:w="11900" w:h="16840"/>
          <w:pgMar w:top="1436" w:right="575" w:bottom="966" w:left="1140" w:header="1008" w:footer="3" w:gutter="0"/>
          <w:cols w:space="720"/>
          <w:noEndnote/>
          <w:rtlGutter w:val="0"/>
          <w:docGrid w:linePitch="360"/>
        </w:sectPr>
      </w:pPr>
    </w:p>
    <w:p>
      <w:pPr>
        <w:pStyle w:val="Style21"/>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spacing w:val="0"/>
          <w:w w:val="100"/>
          <w:position w:val="0"/>
          <w:shd w:val="clear" w:color="auto" w:fill="auto"/>
          <w:lang w:val="ru-RU" w:eastAsia="ru-RU" w:bidi="ru-RU"/>
        </w:rPr>
        <w:t>СВЕДЕНИЯ О СЕРТИФИКАТЕ ЭП</w:t>
      </w:r>
    </w:p>
    <w:p>
      <w:pPr>
        <w:pStyle w:val="Style23"/>
        <w:keepNext w:val="0"/>
        <w:keepLines w:val="0"/>
        <w:widowControl w:val="0"/>
        <w:shd w:val="clear" w:color="auto" w:fill="auto"/>
        <w:bidi w:val="0"/>
        <w:spacing w:before="0" w:after="0" w:line="240" w:lineRule="auto"/>
        <w:ind w:left="0" w:right="0" w:firstLine="0"/>
        <w:jc w:val="left"/>
        <w:rPr>
          <w:sz w:val="11"/>
          <w:szCs w:val="11"/>
        </w:rPr>
      </w:pPr>
      <w:r>
        <w:rPr>
          <w:color w:val="636363"/>
          <w:spacing w:val="0"/>
          <w:w w:val="100"/>
          <w:position w:val="0"/>
          <w:sz w:val="12"/>
          <w:szCs w:val="12"/>
          <w:shd w:val="clear" w:color="auto" w:fill="auto"/>
          <w:lang w:val="ru-RU" w:eastAsia="ru-RU" w:bidi="ru-RU"/>
        </w:rPr>
        <w:t xml:space="preserve">Кому </w:t>
      </w:r>
      <w:r>
        <w:rPr>
          <w:color w:val="000000"/>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Иванова Алла Викторовна</w:t>
      </w:r>
    </w:p>
    <w:p>
      <w:pPr>
        <w:pStyle w:val="Style23"/>
        <w:keepNext w:val="0"/>
        <w:keepLines w:val="0"/>
        <w:widowControl w:val="0"/>
        <w:shd w:val="clear" w:color="auto" w:fill="auto"/>
        <w:bidi w:val="0"/>
        <w:spacing w:before="0" w:after="0" w:line="240" w:lineRule="auto"/>
        <w:ind w:left="0" w:right="0" w:firstLine="0"/>
        <w:jc w:val="both"/>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48ЕВ8СЕЕО9ЕОЕ72В4057АОСЗВ540Э324</w:t>
      </w:r>
    </w:p>
    <w:p>
      <w:pPr>
        <w:pStyle w:val="Style23"/>
        <w:keepNext w:val="0"/>
        <w:keepLines w:val="0"/>
        <w:widowControl w:val="0"/>
        <w:shd w:val="clear" w:color="auto" w:fill="auto"/>
        <w:bidi w:val="0"/>
        <w:spacing w:before="0" w:after="0" w:line="240" w:lineRule="auto"/>
        <w:ind w:left="0" w:right="0" w:firstLine="0"/>
        <w:jc w:val="left"/>
      </w:pPr>
      <w:r>
        <w:rPr>
          <w:color w:val="636363"/>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19.08.2024 </w:t>
      </w:r>
      <w:r>
        <w:rPr>
          <w:color w:val="8A8A8A"/>
          <w:spacing w:val="0"/>
          <w:w w:val="100"/>
          <w:position w:val="0"/>
          <w:shd w:val="clear" w:color="auto" w:fill="auto"/>
          <w:lang w:val="ru-RU" w:eastAsia="ru-RU" w:bidi="ru-RU"/>
        </w:rPr>
        <w:t xml:space="preserve">по </w:t>
      </w:r>
      <w:r>
        <w:rPr>
          <w:color w:val="636363"/>
          <w:spacing w:val="0"/>
          <w:w w:val="100"/>
          <w:position w:val="0"/>
          <w:shd w:val="clear" w:color="auto" w:fill="auto"/>
          <w:lang w:val="ru-RU" w:eastAsia="ru-RU" w:bidi="ru-RU"/>
        </w:rPr>
        <w:t>12.11.2025</w:t>
      </w:r>
    </w:p>
    <w:p>
      <w:pPr>
        <w:widowControl w:val="0"/>
        <w:spacing w:line="1" w:lineRule="exact"/>
        <w:sectPr>
          <w:footnotePr>
            <w:pos w:val="pageBottom"/>
            <w:numFmt w:val="decimal"/>
            <w:numRestart w:val="continuous"/>
          </w:footnotePr>
          <w:type w:val="continuous"/>
          <w:pgSz w:w="11900" w:h="16840"/>
          <w:pgMar w:top="1436" w:right="4280" w:bottom="9737" w:left="4236" w:header="0" w:footer="3" w:gutter="0"/>
          <w:cols w:space="720"/>
          <w:noEndnote/>
          <w:rtlGutter w:val="0"/>
          <w:docGrid w:linePitch="360"/>
        </w:sectPr>
      </w:pPr>
      <w:r>
        <mc:AlternateContent>
          <mc:Choice Requires="wps">
            <w:drawing>
              <wp:anchor distT="88900" distB="405765" distL="0" distR="0" simplePos="0" relativeHeight="125829380" behindDoc="0" locked="0" layoutInCell="1" allowOverlap="1">
                <wp:simplePos x="0" y="0"/>
                <wp:positionH relativeFrom="page">
                  <wp:posOffset>735965</wp:posOffset>
                </wp:positionH>
                <wp:positionV relativeFrom="paragraph">
                  <wp:posOffset>88900</wp:posOffset>
                </wp:positionV>
                <wp:extent cx="1371600" cy="252730"/>
                <wp:wrapTopAndBottom/>
                <wp:docPr id="11" name="Shape 11"/>
                <a:graphic xmlns:a="http://schemas.openxmlformats.org/drawingml/2006/main">
                  <a:graphicData uri="http://schemas.microsoft.com/office/word/2010/wordprocessingShape">
                    <wps:wsp>
                      <wps:cNvSpPr txBox="1"/>
                      <wps:spPr>
                        <a:xfrm>
                          <a:ext cx="1371600" cy="2527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37" type="#_x0000_t202" style="position:absolute;margin-left:57.950000000000003pt;margin-top:7.pt;width:108.pt;height:19.900000000000002pt;z-index:-125829373;mso-wrap-distance-left:0;mso-wrap-distance-top:7.pt;mso-wrap-distance-right:0;mso-wrap-distance-bottom:31.949999999999999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topAndBottom" anchorx="page"/>
              </v:shape>
            </w:pict>
          </mc:Fallback>
        </mc:AlternateContent>
      </w:r>
      <w:r>
        <w:drawing>
          <wp:anchor distT="384810" distB="0" distL="0" distR="1807210" simplePos="0" relativeHeight="125829382" behindDoc="0" locked="0" layoutInCell="1" allowOverlap="1">
            <wp:simplePos x="0" y="0"/>
            <wp:positionH relativeFrom="page">
              <wp:posOffset>2769235</wp:posOffset>
            </wp:positionH>
            <wp:positionV relativeFrom="paragraph">
              <wp:posOffset>384810</wp:posOffset>
            </wp:positionV>
            <wp:extent cx="311150" cy="365760"/>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1"/>
                    <a:stretch/>
                  </pic:blipFill>
                  <pic:spPr>
                    <a:xfrm>
                      <a:ext cx="311150"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3162300</wp:posOffset>
                </wp:positionH>
                <wp:positionV relativeFrom="paragraph">
                  <wp:posOffset>457835</wp:posOffset>
                </wp:positionV>
                <wp:extent cx="1725295" cy="255905"/>
                <wp:wrapNone/>
                <wp:docPr id="15" name="Shape 1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1" type="#_x0000_t202" style="position:absolute;margin-left:249.pt;margin-top:36.050000000000004pt;width:135.84999999999999pt;height:20.150000000000002pt;z-index:251657729;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363220" distB="131445" distL="0" distR="0" simplePos="0" relativeHeight="125829383" behindDoc="0" locked="0" layoutInCell="1" allowOverlap="1">
                <wp:simplePos x="0" y="0"/>
                <wp:positionH relativeFrom="page">
                  <wp:posOffset>6185535</wp:posOffset>
                </wp:positionH>
                <wp:positionV relativeFrom="paragraph">
                  <wp:posOffset>363220</wp:posOffset>
                </wp:positionV>
                <wp:extent cx="1005840" cy="252730"/>
                <wp:wrapTopAndBottom/>
                <wp:docPr id="17" name="Shape 17"/>
                <a:graphic xmlns:a="http://schemas.openxmlformats.org/drawingml/2006/main">
                  <a:graphicData uri="http://schemas.microsoft.com/office/word/2010/wordprocessingShape">
                    <wps:wsp>
                      <wps:cNvSpPr txBox="1"/>
                      <wps:spPr>
                        <a:xfrm>
                          <a:ext cx="1005840" cy="2527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М.С. Дудина</w:t>
                            </w:r>
                          </w:p>
                        </w:txbxContent>
                      </wps:txbx>
                      <wps:bodyPr wrap="none" lIns="0" tIns="0" rIns="0" bIns="0">
                        <a:noAutoFit/>
                      </wps:bodyPr>
                    </wps:wsp>
                  </a:graphicData>
                </a:graphic>
              </wp:anchor>
            </w:drawing>
          </mc:Choice>
          <mc:Fallback>
            <w:pict>
              <v:shape id="_x0000_s1043" type="#_x0000_t202" style="position:absolute;margin-left:487.05000000000001pt;margin-top:28.600000000000001pt;width:79.200000000000003pt;height:19.900000000000002pt;z-index:-125829370;mso-wrap-distance-left:0;mso-wrap-distance-top:28.600000000000001pt;mso-wrap-distance-right:0;mso-wrap-distance-bottom:10.35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М.С. Дудина</w:t>
                      </w:r>
                    </w:p>
                  </w:txbxContent>
                </v:textbox>
                <w10:wrap type="topAndBottom" anchorx="page"/>
              </v:shape>
            </w:pict>
          </mc:Fallback>
        </mc:AlternateContent>
      </w:r>
    </w:p>
    <w:p>
      <w:pPr>
        <w:pStyle w:val="Style21"/>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spacing w:val="0"/>
          <w:w w:val="100"/>
          <w:position w:val="0"/>
          <w:shd w:val="clear" w:color="auto" w:fill="auto"/>
          <w:lang w:val="ru-RU" w:eastAsia="ru-RU" w:bidi="ru-RU"/>
        </w:rPr>
        <w:t xml:space="preserve">СВЕДЕНИЯ О СЕРТИФИКАТЕ </w:t>
      </w:r>
      <w:r>
        <w:rPr>
          <w:color w:val="FFFFFF"/>
          <w:spacing w:val="0"/>
          <w:w w:val="100"/>
          <w:position w:val="0"/>
          <w:shd w:val="clear" w:color="auto" w:fill="auto"/>
          <w:lang w:val="ru-RU" w:eastAsia="ru-RU" w:bidi="ru-RU"/>
        </w:rPr>
        <w:t>ЭП</w:t>
      </w:r>
    </w:p>
    <w:p>
      <w:pPr>
        <w:pStyle w:val="Style23"/>
        <w:keepNext w:val="0"/>
        <w:keepLines w:val="0"/>
        <w:widowControl w:val="0"/>
        <w:shd w:val="clear" w:color="auto" w:fill="auto"/>
        <w:bidi w:val="0"/>
        <w:spacing w:before="0" w:after="0" w:line="240" w:lineRule="auto"/>
        <w:ind w:left="0" w:right="0" w:firstLine="0"/>
        <w:jc w:val="left"/>
        <w:rPr>
          <w:sz w:val="11"/>
          <w:szCs w:val="11"/>
        </w:rPr>
      </w:pPr>
      <w:r>
        <w:rPr>
          <w:color w:val="636363"/>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Дудина Марина Сергеевна</w:t>
      </w:r>
    </w:p>
    <w:p>
      <w:pPr>
        <w:pStyle w:val="Style23"/>
        <w:keepNext w:val="0"/>
        <w:keepLines w:val="0"/>
        <w:widowControl w:val="0"/>
        <w:shd w:val="clear" w:color="auto" w:fill="auto"/>
        <w:bidi w:val="0"/>
        <w:spacing w:before="0" w:after="0" w:line="240" w:lineRule="auto"/>
        <w:ind w:left="0" w:right="0" w:firstLine="0"/>
        <w:jc w:val="left"/>
      </w:pPr>
      <w:r>
        <w:rPr>
          <w:color w:val="222222"/>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22222"/>
          <w:spacing w:val="0"/>
          <w:w w:val="100"/>
          <w:position w:val="0"/>
          <w:shd w:val="clear" w:color="auto" w:fill="auto"/>
          <w:lang w:val="ru-RU" w:eastAsia="ru-RU" w:bidi="ru-RU"/>
        </w:rPr>
        <w:t>00954934В2Е7278АВВЕЕ8300АЭ9С901</w:t>
      </w:r>
      <w:r>
        <w:rPr>
          <w:color w:val="000000"/>
          <w:spacing w:val="0"/>
          <w:w w:val="100"/>
          <w:position w:val="0"/>
          <w:shd w:val="clear" w:color="auto" w:fill="auto"/>
          <w:lang w:val="ru-RU" w:eastAsia="ru-RU" w:bidi="ru-RU"/>
        </w:rPr>
        <w:t>В77</w:t>
      </w:r>
    </w:p>
    <w:p>
      <w:pPr>
        <w:pStyle w:val="Style23"/>
        <w:keepNext w:val="0"/>
        <w:keepLines w:val="0"/>
        <w:widowControl w:val="0"/>
        <w:shd w:val="clear" w:color="auto" w:fill="auto"/>
        <w:bidi w:val="0"/>
        <w:spacing w:before="0" w:after="0" w:line="240" w:lineRule="auto"/>
        <w:ind w:left="0" w:right="0" w:firstLine="0"/>
        <w:jc w:val="left"/>
      </w:pPr>
      <w:r>
        <w:rPr>
          <w:color w:val="636363"/>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222222"/>
          <w:spacing w:val="0"/>
          <w:w w:val="100"/>
          <w:position w:val="0"/>
          <w:shd w:val="clear" w:color="auto" w:fill="auto"/>
          <w:lang w:val="ru-RU" w:eastAsia="ru-RU" w:bidi="ru-RU"/>
        </w:rPr>
        <w:t xml:space="preserve">27.08.2024 </w:t>
      </w:r>
      <w:r>
        <w:rPr>
          <w:color w:val="000000"/>
          <w:spacing w:val="0"/>
          <w:w w:val="100"/>
          <w:position w:val="0"/>
          <w:shd w:val="clear" w:color="auto" w:fill="auto"/>
          <w:lang w:val="ru-RU" w:eastAsia="ru-RU" w:bidi="ru-RU"/>
        </w:rPr>
        <w:t xml:space="preserve">по </w:t>
      </w:r>
      <w:r>
        <w:rPr>
          <w:color w:val="636363"/>
          <w:spacing w:val="0"/>
          <w:w w:val="100"/>
          <w:position w:val="0"/>
          <w:shd w:val="clear" w:color="auto" w:fill="auto"/>
          <w:lang w:val="ru-RU" w:eastAsia="ru-RU" w:bidi="ru-RU"/>
        </w:rPr>
        <w:t>20.11</w:t>
      </w:r>
      <w:r>
        <w:rPr>
          <w:spacing w:val="0"/>
          <w:w w:val="100"/>
          <w:position w:val="0"/>
          <w:shd w:val="clear" w:color="auto" w:fill="auto"/>
          <w:lang w:val="ru-RU" w:eastAsia="ru-RU" w:bidi="ru-RU"/>
        </w:rPr>
        <w:t>.2025</w:t>
      </w:r>
    </w:p>
    <w:p>
      <w:pPr>
        <w:widowControl w:val="0"/>
        <w:spacing w:line="1" w:lineRule="exact"/>
        <w:sectPr>
          <w:footnotePr>
            <w:pos w:val="pageBottom"/>
            <w:numFmt w:val="decimal"/>
            <w:numRestart w:val="continuous"/>
          </w:footnotePr>
          <w:type w:val="continuous"/>
          <w:pgSz w:w="11900" w:h="16840"/>
          <w:pgMar w:top="1436" w:right="4093" w:bottom="9737" w:left="4346" w:header="0" w:footer="3" w:gutter="0"/>
          <w:cols w:space="720"/>
          <w:noEndnote/>
          <w:rtlGutter w:val="0"/>
          <w:docGrid w:linePitch="360"/>
        </w:sectPr>
      </w:pPr>
      <w:r>
        <w:drawing>
          <wp:anchor distT="339090" distB="0" distL="0" distR="1807210" simplePos="0" relativeHeight="125829385" behindDoc="0" locked="0" layoutInCell="1" allowOverlap="1">
            <wp:simplePos x="0" y="0"/>
            <wp:positionH relativeFrom="page">
              <wp:posOffset>2774950</wp:posOffset>
            </wp:positionH>
            <wp:positionV relativeFrom="paragraph">
              <wp:posOffset>339090</wp:posOffset>
            </wp:positionV>
            <wp:extent cx="311150" cy="365760"/>
            <wp:wrapTopAndBottom/>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3"/>
                    <a:stretch/>
                  </pic:blipFill>
                  <pic:spPr>
                    <a:xfrm>
                      <a:ext cx="311150" cy="36576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3168015</wp:posOffset>
                </wp:positionH>
                <wp:positionV relativeFrom="paragraph">
                  <wp:posOffset>412115</wp:posOffset>
                </wp:positionV>
                <wp:extent cx="1725295" cy="255905"/>
                <wp:wrapNone/>
                <wp:docPr id="21" name="Shape 2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49.45000000000002pt;margin-top:32.450000000000003pt;width:135.84999999999999pt;height:20.150000000000002pt;z-index:251657731;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65100" distB="292735" distL="0" distR="0" simplePos="0" relativeHeight="125829386" behindDoc="0" locked="0" layoutInCell="1" allowOverlap="1">
                <wp:simplePos x="0" y="0"/>
                <wp:positionH relativeFrom="page">
                  <wp:posOffset>6017895</wp:posOffset>
                </wp:positionH>
                <wp:positionV relativeFrom="paragraph">
                  <wp:posOffset>165100</wp:posOffset>
                </wp:positionV>
                <wp:extent cx="1173480" cy="243840"/>
                <wp:wrapTopAndBottom/>
                <wp:docPr id="23" name="Shape 23"/>
                <a:graphic xmlns:a="http://schemas.openxmlformats.org/drawingml/2006/main">
                  <a:graphicData uri="http://schemas.microsoft.com/office/word/2010/wordprocessingShape">
                    <wps:wsp>
                      <wps:cNvSpPr txBox="1"/>
                      <wps:spPr>
                        <a:xfrm>
                          <a:ext cx="1173480" cy="24384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М.П. Чеботина</w:t>
                            </w:r>
                          </w:p>
                        </w:txbxContent>
                      </wps:txbx>
                      <wps:bodyPr wrap="none" lIns="0" tIns="0" rIns="0" bIns="0">
                        <a:noAutoFit/>
                      </wps:bodyPr>
                    </wps:wsp>
                  </a:graphicData>
                </a:graphic>
              </wp:anchor>
            </w:drawing>
          </mc:Choice>
          <mc:Fallback>
            <w:pict>
              <v:shape id="_x0000_s1049" type="#_x0000_t202" style="position:absolute;margin-left:473.85000000000002pt;margin-top:13.pt;width:92.400000000000006pt;height:19.199999999999999pt;z-index:-125829367;mso-wrap-distance-left:0;mso-wrap-distance-top:13.pt;mso-wrap-distance-right:0;mso-wrap-distance-bottom:23.050000000000001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М.П. Чеботина</w:t>
                      </w:r>
                    </w:p>
                  </w:txbxContent>
                </v:textbox>
                <w10:wrap type="topAndBottom" anchorx="page"/>
              </v:shape>
            </w:pict>
          </mc:Fallback>
        </mc:AlternateContent>
      </w:r>
    </w:p>
    <w:p>
      <w:pPr>
        <w:pStyle w:val="Style21"/>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spacing w:val="0"/>
          <w:w w:val="100"/>
          <w:position w:val="0"/>
          <w:shd w:val="clear" w:color="auto" w:fill="auto"/>
          <w:lang w:val="ru-RU" w:eastAsia="ru-RU" w:bidi="ru-RU"/>
        </w:rPr>
        <w:t xml:space="preserve">СВЕДЕНИЯ О СЕРТИФИКАТЕ </w:t>
      </w:r>
      <w:r>
        <w:rPr>
          <w:color w:val="FFFFFF"/>
          <w:spacing w:val="0"/>
          <w:w w:val="100"/>
          <w:position w:val="0"/>
          <w:shd w:val="clear" w:color="auto" w:fill="auto"/>
          <w:lang w:val="ru-RU" w:eastAsia="ru-RU" w:bidi="ru-RU"/>
        </w:rPr>
        <w:t>ЭП</w:t>
      </w:r>
    </w:p>
    <w:p>
      <w:pPr>
        <w:pStyle w:val="Style23"/>
        <w:keepNext w:val="0"/>
        <w:keepLines w:val="0"/>
        <w:widowControl w:val="0"/>
        <w:shd w:val="clear" w:color="auto" w:fill="auto"/>
        <w:bidi w:val="0"/>
        <w:spacing w:before="0" w:after="0" w:line="240" w:lineRule="auto"/>
        <w:ind w:left="0" w:right="0" w:firstLine="0"/>
        <w:jc w:val="left"/>
        <w:rPr>
          <w:sz w:val="11"/>
          <w:szCs w:val="11"/>
        </w:rPr>
      </w:pPr>
      <w:r>
        <w:rPr>
          <w:color w:val="636363"/>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Чеботина Марина Петровна</w:t>
      </w:r>
    </w:p>
    <w:p>
      <w:pPr>
        <w:pStyle w:val="Style23"/>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4СВ06ЕЕ646ЕЕСЭС7ЭС902ЕЕС6АЕ1</w:t>
      </w:r>
      <w:r>
        <w:rPr>
          <w:color w:val="000000"/>
          <w:spacing w:val="0"/>
          <w:w w:val="100"/>
          <w:position w:val="0"/>
          <w:shd w:val="clear" w:color="auto" w:fill="auto"/>
          <w:lang w:val="ru-RU" w:eastAsia="ru-RU" w:bidi="ru-RU"/>
        </w:rPr>
        <w:t>Е2Е6</w:t>
      </w:r>
    </w:p>
    <w:p>
      <w:pPr>
        <w:pStyle w:val="Style23"/>
        <w:keepNext w:val="0"/>
        <w:keepLines w:val="0"/>
        <w:widowControl w:val="0"/>
        <w:shd w:val="clear" w:color="auto" w:fill="auto"/>
        <w:bidi w:val="0"/>
        <w:spacing w:before="0" w:after="60" w:line="240" w:lineRule="auto"/>
        <w:ind w:left="0" w:right="0" w:firstLine="0"/>
        <w:jc w:val="left"/>
      </w:pPr>
      <w:r>
        <w:rPr>
          <w:color w:val="636363"/>
          <w:spacing w:val="0"/>
          <w:w w:val="100"/>
          <w:position w:val="0"/>
          <w:shd w:val="clear" w:color="auto" w:fill="auto"/>
          <w:lang w:val="ru-RU" w:eastAsia="ru-RU" w:bidi="ru-RU"/>
        </w:rPr>
        <w:t xml:space="preserve">Действителен с </w:t>
      </w:r>
      <w:r>
        <w:rPr>
          <w:spacing w:val="0"/>
          <w:w w:val="100"/>
          <w:position w:val="0"/>
          <w:shd w:val="clear" w:color="auto" w:fill="auto"/>
          <w:lang w:val="ru-RU" w:eastAsia="ru-RU" w:bidi="ru-RU"/>
        </w:rPr>
        <w:t xml:space="preserve">18.04.2024 по </w:t>
      </w:r>
      <w:r>
        <w:rPr>
          <w:color w:val="636363"/>
          <w:spacing w:val="0"/>
          <w:w w:val="100"/>
          <w:position w:val="0"/>
          <w:shd w:val="clear" w:color="auto" w:fill="auto"/>
          <w:lang w:val="ru-RU" w:eastAsia="ru-RU" w:bidi="ru-RU"/>
        </w:rPr>
        <w:t>12.07.2025</w:t>
      </w:r>
    </w:p>
    <w:sectPr>
      <w:footnotePr>
        <w:pos w:val="pageBottom"/>
        <w:numFmt w:val="decimal"/>
        <w:numRestart w:val="continuous"/>
      </w:footnotePr>
      <w:type w:val="continuous"/>
      <w:pgSz w:w="11900" w:h="16840"/>
      <w:pgMar w:top="1436" w:right="4132" w:bottom="1436" w:left="435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9857740</wp:posOffset>
              </wp:positionV>
              <wp:extent cx="648970" cy="100330"/>
              <wp:wrapNone/>
              <wp:docPr id="3" name="Shape 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2024-3379</w:t>
                          </w:r>
                        </w:p>
                      </w:txbxContent>
                    </wps:txbx>
                    <wps:bodyPr wrap="none" lIns="0" tIns="0" rIns="0" bIns="0">
                      <a:spAutoFit/>
                    </wps:bodyPr>
                  </wps:wsp>
                </a:graphicData>
              </a:graphic>
            </wp:anchor>
          </w:drawing>
        </mc:Choice>
        <mc:Fallback>
          <w:pict>
            <v:shape id="_x0000_s1029" type="#_x0000_t202" style="position:absolute;margin-left:57.pt;margin-top:776.20000000000005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2024-3379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723265</wp:posOffset>
              </wp:positionH>
              <wp:positionV relativeFrom="page">
                <wp:posOffset>10016490</wp:posOffset>
              </wp:positionV>
              <wp:extent cx="648970" cy="100330"/>
              <wp:wrapNone/>
              <wp:docPr id="7" name="Shape 7"/>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2024-3379</w:t>
                          </w:r>
                        </w:p>
                      </w:txbxContent>
                    </wps:txbx>
                    <wps:bodyPr wrap="none" lIns="0" tIns="0" rIns="0" bIns="0">
                      <a:spAutoFit/>
                    </wps:bodyPr>
                  </wps:wsp>
                </a:graphicData>
              </a:graphic>
            </wp:anchor>
          </w:drawing>
        </mc:Choice>
        <mc:Fallback>
          <w:pict>
            <v:shape id="_x0000_s1033" type="#_x0000_t202" style="position:absolute;margin-left:56.950000000000003pt;margin-top:788.70000000000005pt;width:51.100000000000001pt;height:7.9000000000000004pt;z-index:-188744060;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2024-3379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76199"/>
      <w:sz w:val="16"/>
      <w:szCs w:val="16"/>
      <w:u w:val="none"/>
    </w:rPr>
  </w:style>
  <w:style w:type="character" w:customStyle="1" w:styleId="CharStyle6">
    <w:name w:val="Основной текст (6)_"/>
    <w:basedOn w:val="DefaultParagraphFont"/>
    <w:link w:val="Style5"/>
    <w:rPr>
      <w:rFonts w:ascii="Times New Roman" w:eastAsia="Times New Roman" w:hAnsi="Times New Roman" w:cs="Times New Roman"/>
      <w:b/>
      <w:bCs/>
      <w:i w:val="0"/>
      <w:iCs w:val="0"/>
      <w:smallCaps w:val="0"/>
      <w:strike w:val="0"/>
      <w:color w:val="476199"/>
      <w:sz w:val="19"/>
      <w:szCs w:val="19"/>
      <w:u w:val="none"/>
    </w:rPr>
  </w:style>
  <w:style w:type="character" w:customStyle="1" w:styleId="CharStyle8">
    <w:name w:val="Основной текст_"/>
    <w:basedOn w:val="DefaultParagraphFont"/>
    <w:link w:val="Style7"/>
    <w:rPr>
      <w:rFonts w:ascii="Times New Roman" w:eastAsia="Times New Roman" w:hAnsi="Times New Roman" w:cs="Times New Roman"/>
      <w:b w:val="0"/>
      <w:bCs w:val="0"/>
      <w:i w:val="0"/>
      <w:iCs w:val="0"/>
      <w:smallCaps w:val="0"/>
      <w:strike w:val="0"/>
      <w:sz w:val="28"/>
      <w:szCs w:val="28"/>
      <w:u w:val="none"/>
    </w:rPr>
  </w:style>
  <w:style w:type="character" w:customStyle="1" w:styleId="CharStyle13">
    <w:name w:val="Колонтитул (2)_"/>
    <w:basedOn w:val="DefaultParagraphFont"/>
    <w:link w:val="Style12"/>
    <w:rPr>
      <w:rFonts w:ascii="Times New Roman" w:eastAsia="Times New Roman" w:hAnsi="Times New Roman" w:cs="Times New Roman"/>
      <w:b w:val="0"/>
      <w:bCs w:val="0"/>
      <w:i w:val="0"/>
      <w:iCs w:val="0"/>
      <w:smallCaps w:val="0"/>
      <w:strike w:val="0"/>
      <w:sz w:val="20"/>
      <w:szCs w:val="20"/>
      <w:u w:val="none"/>
    </w:rPr>
  </w:style>
  <w:style w:type="character" w:customStyle="1" w:styleId="CharStyle17">
    <w:name w:val="Основной текст (4)_"/>
    <w:basedOn w:val="DefaultParagraphFont"/>
    <w:link w:val="Style16"/>
    <w:rPr>
      <w:rFonts w:ascii="Times New Roman" w:eastAsia="Times New Roman" w:hAnsi="Times New Roman" w:cs="Times New Roman"/>
      <w:b w:val="0"/>
      <w:bCs w:val="0"/>
      <w:i/>
      <w:iCs/>
      <w:smallCaps w:val="0"/>
      <w:strike w:val="0"/>
      <w:u w:val="none"/>
    </w:rPr>
  </w:style>
  <w:style w:type="character" w:customStyle="1" w:styleId="CharStyle19">
    <w:name w:val="Подпись к картинке_"/>
    <w:basedOn w:val="DefaultParagraphFont"/>
    <w:link w:val="Style18"/>
    <w:rPr>
      <w:rFonts w:ascii="Georgia" w:eastAsia="Georgia" w:hAnsi="Georgia" w:cs="Georgia"/>
      <w:b w:val="0"/>
      <w:bCs w:val="0"/>
      <w:i w:val="0"/>
      <w:iCs w:val="0"/>
      <w:smallCaps w:val="0"/>
      <w:strike w:val="0"/>
      <w:color w:val="222222"/>
      <w:sz w:val="11"/>
      <w:szCs w:val="11"/>
      <w:u w:val="none"/>
    </w:rPr>
  </w:style>
  <w:style w:type="character" w:customStyle="1" w:styleId="CharStyle22">
    <w:name w:val="Основной текст (5)_"/>
    <w:basedOn w:val="DefaultParagraphFont"/>
    <w:link w:val="Style21"/>
    <w:rPr>
      <w:rFonts w:ascii="Georgia" w:eastAsia="Georgia" w:hAnsi="Georgia" w:cs="Georgia"/>
      <w:b w:val="0"/>
      <w:bCs w:val="0"/>
      <w:i w:val="0"/>
      <w:iCs w:val="0"/>
      <w:smallCaps w:val="0"/>
      <w:strike w:val="0"/>
      <w:color w:val="E8E8E8"/>
      <w:sz w:val="12"/>
      <w:szCs w:val="12"/>
      <w:u w:val="none"/>
    </w:rPr>
  </w:style>
  <w:style w:type="character" w:customStyle="1" w:styleId="CharStyle24">
    <w:name w:val="Основной текст (2)_"/>
    <w:basedOn w:val="DefaultParagraphFont"/>
    <w:link w:val="Style23"/>
    <w:rPr>
      <w:rFonts w:ascii="Arial" w:eastAsia="Arial" w:hAnsi="Arial" w:cs="Arial"/>
      <w:b w:val="0"/>
      <w:bCs w:val="0"/>
      <w:i w:val="0"/>
      <w:iCs w:val="0"/>
      <w:smallCaps w:val="0"/>
      <w:strike w:val="0"/>
      <w:color w:val="414141"/>
      <w:sz w:val="12"/>
      <w:szCs w:val="12"/>
      <w:u w:val="none"/>
    </w:rPr>
  </w:style>
  <w:style w:type="paragraph" w:customStyle="1" w:styleId="Style2">
    <w:name w:val="Основной текст (3)"/>
    <w:basedOn w:val="Normal"/>
    <w:link w:val="CharStyle3"/>
    <w:pPr>
      <w:widowControl w:val="0"/>
      <w:shd w:val="clear" w:color="auto" w:fill="auto"/>
      <w:spacing w:after="140" w:line="283" w:lineRule="auto"/>
      <w:jc w:val="center"/>
    </w:pPr>
    <w:rPr>
      <w:rFonts w:ascii="Times New Roman" w:eastAsia="Times New Roman" w:hAnsi="Times New Roman" w:cs="Times New Roman"/>
      <w:b w:val="0"/>
      <w:bCs w:val="0"/>
      <w:i w:val="0"/>
      <w:iCs w:val="0"/>
      <w:smallCaps w:val="0"/>
      <w:strike w:val="0"/>
      <w:color w:val="476199"/>
      <w:sz w:val="16"/>
      <w:szCs w:val="16"/>
      <w:u w:val="none"/>
    </w:rPr>
  </w:style>
  <w:style w:type="paragraph" w:customStyle="1" w:styleId="Style5">
    <w:name w:val="Основной текст (6)"/>
    <w:basedOn w:val="Normal"/>
    <w:link w:val="CharStyle6"/>
    <w:pPr>
      <w:widowControl w:val="0"/>
      <w:shd w:val="clear" w:color="auto" w:fill="auto"/>
      <w:spacing w:after="70" w:line="259" w:lineRule="auto"/>
    </w:pPr>
    <w:rPr>
      <w:rFonts w:ascii="Times New Roman" w:eastAsia="Times New Roman" w:hAnsi="Times New Roman" w:cs="Times New Roman"/>
      <w:b/>
      <w:bCs/>
      <w:i w:val="0"/>
      <w:iCs w:val="0"/>
      <w:smallCaps w:val="0"/>
      <w:strike w:val="0"/>
      <w:color w:val="476199"/>
      <w:sz w:val="19"/>
      <w:szCs w:val="19"/>
      <w:u w:val="none"/>
    </w:rPr>
  </w:style>
  <w:style w:type="paragraph" w:customStyle="1" w:styleId="Style7">
    <w:name w:val="Основной текст"/>
    <w:basedOn w:val="Normal"/>
    <w:link w:val="CharStyle8"/>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2">
    <w:name w:val="Колонтитул (2)"/>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6">
    <w:name w:val="Основной текст (4)"/>
    <w:basedOn w:val="Normal"/>
    <w:link w:val="CharStyle17"/>
    <w:pPr>
      <w:widowControl w:val="0"/>
      <w:shd w:val="clear" w:color="auto" w:fill="auto"/>
      <w:spacing w:after="280"/>
      <w:ind w:firstLine="720"/>
    </w:pPr>
    <w:rPr>
      <w:rFonts w:ascii="Times New Roman" w:eastAsia="Times New Roman" w:hAnsi="Times New Roman" w:cs="Times New Roman"/>
      <w:b w:val="0"/>
      <w:bCs w:val="0"/>
      <w:i/>
      <w:iCs/>
      <w:smallCaps w:val="0"/>
      <w:strike w:val="0"/>
      <w:u w:val="none"/>
    </w:rPr>
  </w:style>
  <w:style w:type="paragraph" w:customStyle="1" w:styleId="Style18">
    <w:name w:val="Подпись к картинке"/>
    <w:basedOn w:val="Normal"/>
    <w:link w:val="CharStyle19"/>
    <w:pPr>
      <w:widowControl w:val="0"/>
      <w:shd w:val="clear" w:color="auto" w:fill="auto"/>
    </w:pPr>
    <w:rPr>
      <w:rFonts w:ascii="Georgia" w:eastAsia="Georgia" w:hAnsi="Georgia" w:cs="Georgia"/>
      <w:b w:val="0"/>
      <w:bCs w:val="0"/>
      <w:i w:val="0"/>
      <w:iCs w:val="0"/>
      <w:smallCaps w:val="0"/>
      <w:strike w:val="0"/>
      <w:color w:val="222222"/>
      <w:sz w:val="11"/>
      <w:szCs w:val="11"/>
      <w:u w:val="none"/>
    </w:rPr>
  </w:style>
  <w:style w:type="paragraph" w:customStyle="1" w:styleId="Style21">
    <w:name w:val="Основной текст (5)"/>
    <w:basedOn w:val="Normal"/>
    <w:link w:val="CharStyle22"/>
    <w:pPr>
      <w:widowControl w:val="0"/>
      <w:shd w:val="clear" w:color="auto" w:fill="auto"/>
      <w:spacing w:after="100"/>
      <w:jc w:val="center"/>
    </w:pPr>
    <w:rPr>
      <w:rFonts w:ascii="Georgia" w:eastAsia="Georgia" w:hAnsi="Georgia" w:cs="Georgia"/>
      <w:b w:val="0"/>
      <w:bCs w:val="0"/>
      <w:i w:val="0"/>
      <w:iCs w:val="0"/>
      <w:smallCaps w:val="0"/>
      <w:strike w:val="0"/>
      <w:color w:val="E8E8E8"/>
      <w:sz w:val="12"/>
      <w:szCs w:val="12"/>
      <w:u w:val="none"/>
    </w:rPr>
  </w:style>
  <w:style w:type="paragraph" w:customStyle="1" w:styleId="Style23">
    <w:name w:val="Основной текст (2)"/>
    <w:basedOn w:val="Normal"/>
    <w:link w:val="CharStyle24"/>
    <w:pPr>
      <w:widowControl w:val="0"/>
      <w:shd w:val="clear" w:color="auto" w:fill="auto"/>
    </w:pPr>
    <w:rPr>
      <w:rFonts w:ascii="Arial" w:eastAsia="Arial" w:hAnsi="Arial" w:cs="Arial"/>
      <w:b w:val="0"/>
      <w:bCs w:val="0"/>
      <w:i w:val="0"/>
      <w:iCs w:val="0"/>
      <w:smallCaps w:val="0"/>
      <w:strike w:val="0"/>
      <w:color w:val="414141"/>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jpeg"/><Relationship Id="rId7" Type="http://schemas.openxmlformats.org/officeDocument/2006/relationships/image" Target="media/image1.jpeg" TargetMode="Externa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