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  <w:br/>
        <w:t>по Липецкой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пл. Плеханова, 1, г. Липецк, 398050</w:t>
        <w:br/>
        <w:t>телефакс (4742) 27-14-82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е-таП: 1о48@Газ. §оу.ги 11йр://11ре1бк.Га8.доу.ги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1,10.2024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ИП/6159/2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center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"Матрица"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кега1а2018@таП.ги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Федеральное казенное учреждение «Главное бюро медико-социальной экспертизы по Липецкой области» Министерства труда и социальной защиты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1162" w:right="714" w:bottom="1231" w:left="1140" w:header="0" w:footer="3" w:gutter="0"/>
          <w:pgNumType w:start="1"/>
          <w:cols w:num="2" w:space="720" w:equalWidth="0">
            <w:col w:w="4224" w:space="1042"/>
            <w:col w:w="4781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дЪт8е-Нре18к@таП.ги дЪт8е@Нре18к.ги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6" w:right="0" w:bottom="114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№048/06/106-863/2024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6036310</wp:posOffset>
                </wp:positionH>
                <wp:positionV relativeFrom="paragraph">
                  <wp:posOffset>12700</wp:posOffset>
                </wp:positionV>
                <wp:extent cx="996950" cy="23177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9695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город Липецк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75.30000000000001pt;margin-top:1.pt;width:78.5pt;height:18.2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город Липецк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 сентября 2024 года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Резолютивная часть решения объявлена 26.09.2024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в полном объеме изготовлено 27.09.2024 года.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Липецкого УФАС России по контролю в сфере закупок товаров, работ, услуг для обеспечения государственных и муниципальных нужд на территории Липецкой области в составе: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Комиссии: И.В. Поткина — руководитель управления,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 Т.Н. Ролдугина - начальник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 Комиссии: Т.С. Рябкова — заместитель начальника отдела контроля закупок и торгов,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посредством видеоконференцсвязи представителей ООО «Матрица»: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Шлычковой А.И. (по доверенности), Доценко Т.Г. (по доверенности),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«Матрица» на положения извещения о проведении электронного аукциона на поставку картриджей для печатающих устройств в сфере ИКТ (реестровый номер 0346100005224000052) (далее - электронный аукцион),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 С Т А Н О В И Л 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Липецкое УФАС России, посредством ЕИС, поступила жалоба ООО «Матрица» (далее- заявитель) на положения извещения о проведении электронного аукциона (заказчик- ФКУ «Главное бюро медико-социальной экспертизы по Липецкой области» Министерства труда и социальной защиты Российской Федерации).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№44-ФЗ "О контрактной системе в сфере закупок товаров, работ, услуг для обеспечения государственных и муниципальных нужд" (далее также- Закон о контрактной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</w:pPr>
      <w:bookmarkStart w:id="2" w:name="bookmark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2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5"/>
        </w:rPr>
        <w:t>системе) и подана в срок, установленный частью 4 статьи 105 Закона о контрактной системе. В связи с этим, жалоба была принята Липецким УФАС России к рассмотрению.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времени и месте рассмотрения жалобы размещены Липецким УФАС России в ЕИС.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осуществлялось в отсутствие представителей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пояснили присутствующие на рассмотрении жалобы представители заявителя, права и законные интересы заявителя были нарушены следующими действиями заказчика: 1) установлен ненадлежащий код по общероссийскому классификатору продукции по видам экономической деятельности (далее - ОКПД2), не распространяющийся на «картриджи для печатающих устройств в сфере ИКТ», что повлекло за собой не установление ограничений на основании постановления Правительства Российской Федерации от 10.07.2019 №878;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не установлена возможность поставки эквивалента закупаемого товара.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с доводами жалобы не согласен, направил письменные возражения.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 приложенные к ней материалы, а также другие документы (копии), представленные сторонами, выслушав мнение представителей заявителя, проведя внеплановую проверку на основании Приказа Липецкого УФАС России, Комиссия Липецкого УФАС России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 проведении электронного аукциона на поставку картриджей для печатающих устройств в сфере ИКТ (реестровый номер 0346100005224000052) с приложениями размещено 13.09.2024 в ЕИС.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- 23.09.2024 08:00,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- 23.09.2024,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- 25.09.2024.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составляет 495 318,88 руб.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Объектом закупки является поставка картриджей для печатающих устройств в сфере ИКТ.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заявителя о том, что заказчиком ненадлежащий установлен код</w:t>
      </w:r>
    </w:p>
    <w:p>
      <w:pPr>
        <w:pStyle w:val="Style22"/>
        <w:keepNext w:val="0"/>
        <w:keepLines w:val="0"/>
        <w:widowControl w:val="0"/>
        <w:shd w:val="clear" w:color="auto" w:fill="auto"/>
        <w:tabs>
          <w:tab w:leader="underscore" w:pos="595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ОКПД2 Комиссия Липецкого УФАС России признает обоснованным, ввиду следующего. 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Согласно извещению, заказчиком закупаются следующие товары:</w:t>
      </w:r>
    </w:p>
    <w:tbl>
      <w:tblPr>
        <w:tblOverlap w:val="never"/>
        <w:jc w:val="center"/>
        <w:tblLayout w:type="fixed"/>
      </w:tblPr>
      <w:tblGrid>
        <w:gridCol w:w="2155"/>
        <w:gridCol w:w="5050"/>
        <w:gridCol w:w="1186"/>
        <w:gridCol w:w="1704"/>
      </w:tblGrid>
      <w:tr>
        <w:trPr>
          <w:trHeight w:val="11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КОД ПОЗИЦИИ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НАИМЕНОВАНИЕ ТОВАРА, РАБОТЫ, УСЛУГИ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ЕД.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ИЗМЕР ЕНИЯ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КОЛИЧЕСТ ВО (ОБЪЕМ РАБОТЫ, УСЛУГИ)</w:t>
            </w:r>
          </w:p>
        </w:tc>
      </w:tr>
      <w:tr>
        <w:trPr>
          <w:trHeight w:val="138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20.59.12.120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20.59.12.120</w:t>
              <w:softHyphen/>
              <w:t>00000002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Картридж для электрографических печатающих устройств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Модель фотобарабана Рапкпп ^^-5120р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Модель принтера Рапкпп ВМ5100А1)\У Оригинальный фотобарабан Да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14,00</w:t>
            </w:r>
          </w:p>
        </w:tc>
      </w:tr>
      <w:tr>
        <w:trPr>
          <w:trHeight w:val="139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20.59.12.120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20.59.12.120</w:t>
              <w:softHyphen/>
              <w:t>00000002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Картридж для электрографических печатающих устройств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Модель картриджа Рапкпп Т1.-512011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Модель принтера Рапкпп ВМ5100А1)\У</w:t>
            </w:r>
          </w:p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Оригинальный картридж Да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Штука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top"/>
          </w:tcPr>
          <w:p>
            <w:pPr>
              <w:pStyle w:val="Style2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50,00</w:t>
            </w:r>
          </w:p>
        </w:tc>
      </w:tr>
    </w:tbl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5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при описании объекта закупки применена позиция КТРУ: 20.59.12.120-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00000002 «Картридж для электрографических печатающих устройств», а также указан код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ОКПД2 20.59.12.120.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Указанный заказчиком код ОКПД2 20.59.12.120 расшифровывается как: «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Составы химические, используемые в фотографии, не включенные в другие группировки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Схема иерархии в классификаторе ОКПД2 для кода 20.59.12.120: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С— Продукция обрабатывающих производств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4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Вещества химические и продукты химические</w:t>
      </w:r>
    </w:p>
    <w:p>
      <w:pPr>
        <w:pStyle w:val="Style14"/>
        <w:keepNext w:val="0"/>
        <w:keepLines w:val="0"/>
        <w:widowControl w:val="0"/>
        <w:numPr>
          <w:ilvl w:val="1"/>
          <w:numId w:val="1"/>
        </w:numPr>
        <w:shd w:val="clear" w:color="auto" w:fill="auto"/>
        <w:tabs>
          <w:tab w:pos="9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Продукты химические прочие</w:t>
      </w:r>
    </w:p>
    <w:p>
      <w:pPr>
        <w:pStyle w:val="Style14"/>
        <w:keepNext w:val="0"/>
        <w:keepLines w:val="0"/>
        <w:widowControl w:val="0"/>
        <w:numPr>
          <w:ilvl w:val="1"/>
          <w:numId w:val="3"/>
        </w:numPr>
        <w:shd w:val="clear" w:color="auto" w:fill="auto"/>
        <w:tabs>
          <w:tab w:pos="104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Продукты химические прочие, не включенные в другие группировки</w:t>
      </w:r>
    </w:p>
    <w:p>
      <w:pPr>
        <w:pStyle w:val="Style14"/>
        <w:keepNext w:val="0"/>
        <w:keepLines w:val="0"/>
        <w:widowControl w:val="0"/>
        <w:numPr>
          <w:ilvl w:val="2"/>
          <w:numId w:val="3"/>
        </w:numPr>
        <w:shd w:val="clear" w:color="auto" w:fill="auto"/>
        <w:tabs>
          <w:tab w:pos="123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Фотопластинки и фотопленки; фотопленки для моментальных фотоснимков; составы химические и продукты несмешанные, используемые в фотографии</w:t>
      </w:r>
    </w:p>
    <w:p>
      <w:pPr>
        <w:pStyle w:val="Style14"/>
        <w:keepNext w:val="0"/>
        <w:keepLines w:val="0"/>
        <w:widowControl w:val="0"/>
        <w:numPr>
          <w:ilvl w:val="2"/>
          <w:numId w:val="5"/>
        </w:numPr>
        <w:shd w:val="clear" w:color="auto" w:fill="auto"/>
        <w:tabs>
          <w:tab w:pos="136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Эмульсии фотографические; составы химические, используемые в фотографии, не включенные в другие группировки</w:t>
      </w:r>
    </w:p>
    <w:p>
      <w:pPr>
        <w:pStyle w:val="Style14"/>
        <w:keepNext w:val="0"/>
        <w:keepLines w:val="0"/>
        <w:widowControl w:val="0"/>
        <w:numPr>
          <w:ilvl w:val="3"/>
          <w:numId w:val="7"/>
        </w:numPr>
        <w:shd w:val="clear" w:color="auto" w:fill="auto"/>
        <w:tabs>
          <w:tab w:pos="181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Составы химические, используемые в фотографии, не включенные в другие группировки (текущий уровень).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Подходящим под закупаемые заказчиком картридж является код ОКПД2 26.20.40.120: Элементы замены типовые устройств ввода и вывода. Эта группировка в том числе включает: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емкости с тонером и тонерные отсеки для лазерных и светодиодных принтеров и многофункциональных печатающих устройств;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4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фотопроводниковые блоки формирования изображения и блоки переноса (барабаны, ленты) для лазерных и светодиодных принтеров и многофункциональных печатающих устройств;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картриджи однокомпонентные (в одном корпусе совмещен блок фотобарабана и тонерный отсек);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емкости с магнитным носителем порошка (девелопер) для лазерных и светодиодных принтеров и многофункциональных печатающих устройств;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емкости с чернилами для струйных, каплеструйных и твердочернильных принтеров и многофункциональных печатающих устройств, красящие ленты для матричных и литерных принтеров;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3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картриджи для струйных и каплеструйных принтеров и многофункциональных печатающих устройств;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43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средства очистки системы печати для струйных, каплеструйных и твердочернильных принтеров и многофункциональных печатающих устройств, блоки сбора отработанного тонера для лазерных и светодиодных принтеров и многофункциональных печатающих устройств;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222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картриджи и прочие расходные материалы для сублимационных принтеров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 разместил в составе извещения сведения о коде ОКПД2, не относящегося к закупаемым товарам, который не отражает истинную потребность заказчика - приобретение картриджей для печатающих устройств.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ч.3 ст.7 Закона о контрактной системе,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изложенное, Комиссия Липецкого УФАС России приходит к выводу, что вышеуказанные действия заказчика по указанию в извещении о проведении закупки кода ОКПД2 20.59.12.120 «Составы химические, используемые в фотографии, не включенные в другие группировки», нарушают требования ч.3 ст.7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Установленное нарушение ч.3 ст.7 Закона о контрактной системе содержит признаки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административного правонарушения, предусмотренного ч.1.4 ст.7.30 КоАП РФ.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«ухода» заказчика от применения постановления Правительства Российской Федерации от 10.07.2019 №878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16.09.2016 №925 и признании утратившими силу некоторых актов Правительства Российской Федерации» (далее- Постановление №878) Комиссия установила следующее.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в извещении (редакция от 13.09.2024) не установил ограничение допуска радиоэлектронной продукции, происходящей из иностранных государств в соответствии с Постановлением №78.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Между тем, Комиссией Липецкого УФАС России установлено, что в адрес заказчика от участников поступили 2 запроса на разъяснение положений извещения об осуществлении рассматриваемой закупки, в которых участники, в числе прочего, указывали заказчику на необходимость применения положений Постановления №78.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установлено, заказчик, в соответствии с вышеуказанными запросами участников, принял решение и 17.09.2024 внес изменения в извещение об осуществлении закупки, установив ограничения допуска радиоэлектронной продукции, происходящей из иностранных государств в соответствии с Постановлением №78.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Правилами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(утв. постановлением Правительства Российской Федерации от 08.02.2017 №145) под каталогом товаров, работ, услуг для обеспечения государственных и муниципальных нужд (далее - каталог) понимается систематизированный перечень товаров, работ, услуг, закупаемых для обеспечения государственных и муниципальных нужд, сформированный на основе Общероссийского классификатора продукции по видам экономической деятельности (ОКПД2) ОК 034-2014 и включающий в себя информацию в соответствии с настоящими Правилами. В позицию каталога включается справочная информация: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коды, соответствующие товару, работе, услуге согласно российским и международным системам классификации, каталогизации (при наличии).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Примененная заказчиком позиция КТРУ: 20.59.12.120-00000002 «Картридж для электрографических печатающих устройств» содержит в себе следующие коды ОКПД2: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- 26.20.40.120: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Элементы замены типовые устройств ввода и вывода,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20.59.12.120: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Составы химические, используемые в фотографии, не включенные в другие группировки,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2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26.20.40.190: Комплектующие и запасные части для вычислительных машин прочие, не включенные в другие группировки,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28.99.40.110: Комплектующие (запасные части) печатного оборудования, не имеющие самостоятельных группировок,</w:t>
      </w:r>
    </w:p>
    <w:p>
      <w:pPr>
        <w:pStyle w:val="Style14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1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28.23.25.000: Части и принадлежности прочих офисных машин.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Коды ОКПД2 26.20.40.120: «Элементы замены типовые устройств ввода и вывода» и 26.20.40.190: «Комплектующие и запасные части для вычислительных машин прочие, не включенные в другие группировки» входят в перечень товаров, на которые распространяется Постановление №878.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данном случае заказчик согласился с необходимостью установления ограничений, предусмотренных Постановлением №878, исходя из приведенного описания объекта закупки, наименования товара и понимания подлежащего применению кода ОКПД 2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26.20.40.120: Элементы замены типовые устройств ввода и вывода, и внес изменения в извещение, установив соответствующие ограничения допуска товаров.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привести в соответствие информацию о размещенном коде ОКПД2 заказчик не имел возможности, поскольку определенный код ОКП2 содержится в плане- графике, который не подлежит изменению при внесении изменений в извещение.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заказчиком фактически соблюдены требования п. 15 ч. 1 ст. 42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Довод жалобы заявителя о том, что заказчиком неправомерно не установлена возможность поставки эквивалента закупаемого товара, Комиссия Липецкого УФАС России признает необоснованным, ввиду следующего.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описание объекта закупки заказчиком включен товарный знак закупаемого товара «РаиЮт».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описанию объекта закупки, заказчиком установлено следующее: «Весь товар должен быть оригинальным, произведенным производителем многофункциональных устройств РапШт ВМ51(.ЮЛ[)\\'. Требование оригинальности (картридж является оригинальным, если он изготовлен производителем соответствующего печатающего устройства). Расходные материалы будут использоваться в принтерах РаиНпи ВМ5100А^\, которые находятся на гарантии в соответствии с пп. "в" п. 1 ч. 1 ст. 33 Закона № 44-ФЗ для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Производитель РапЮт обеспечивает гарантийное обслуживание своей техники только при условии, использования и эксплуатации с оригинальными расходными материалами. Эксплуатация поставленного товара не должна приводить к нарушению условий и правил эксплуатации данного оборудования, установленных в технической документации, в том числе к нарушению условий порядка предоставления бесплатного гарантийного ремонта данного оборудования».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Как следует из представленных заказчиком письменных пояснений, закупаемые картриджи будут использоваться в принтерах РаиНпт которые находятся на гарантии. При этом, согласно информации с официального сайта производителя техники РаиНпт производитель обеспечивает гарантийное обслуживание своей техники только при условии использования и эксплуатации с оригинальными расходными материалами.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материалы рассмотрения жалобы заказчиком представлен гарантийный талон,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которому гарантийный срок принтеров, закупленных заказчиком по контракту от 07.06.2024, составляет 12 месяцев 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Липецкого УФАС России приходит к выводу, что действия заказчика, не установившего возможность поставки эквивалентного товара, не противоречат требованиям Закона о контрактной системе.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рассмотрении вопроса о выдаче предписания Комиссией Липецкого УФАС России установлено, что выявленное нарушение закона не повлияло на результат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ст.99, ст.105, ст.106 Закона о контрактной системе, Комиссия Липецкого УФАС России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20" w:line="276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15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«Матрица» на положения извещения о проведении электронного аукциона на поставку картриджей для печатающих устройств в сфере ИКТ (реестровый номер 0346100005224000052) обоснованной в части довода о неправомерном указании заказчиком кода ОКПД2.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15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действиях заказчика установлено нарушение ч.3 ст.7 Закона о контрактной системе.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15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 об устранении выявленных нарушений Закона о контрактной системе не выдавать.</w:t>
      </w:r>
    </w:p>
    <w:p>
      <w:pPr>
        <w:pStyle w:val="Style14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715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рассмотрения жалобы должностному лицу Липецкого УФАС России для рассмотрения вопроса о возбуждении административного производства.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арбитражный суд в течение 3 месяцев со дня его вынесения.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56" w:right="535" w:bottom="1146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14300" distB="340995" distL="0" distR="0" simplePos="0" relativeHeight="125829380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114300</wp:posOffset>
                </wp:positionV>
                <wp:extent cx="1771015" cy="23495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7101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300000000000004pt;margin-top:9.pt;width:139.45000000000002pt;height:18.5pt;z-index:-125829373;mso-wrap-distance-left:0;mso-wrap-distance-top:9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53670" distB="0" distL="0" distR="1786255" simplePos="0" relativeHeight="125829382" behindDoc="0" locked="0" layoutInCell="1" allowOverlap="1">
            <wp:simplePos x="0" y="0"/>
            <wp:positionH relativeFrom="page">
              <wp:posOffset>2861945</wp:posOffset>
            </wp:positionH>
            <wp:positionV relativeFrom="paragraph">
              <wp:posOffset>153670</wp:posOffset>
            </wp:positionV>
            <wp:extent cx="353695" cy="536575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3319145</wp:posOffset>
                </wp:positionH>
                <wp:positionV relativeFrom="paragraph">
                  <wp:posOffset>556260</wp:posOffset>
                </wp:positionV>
                <wp:extent cx="1280160" cy="10350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61.35000000000002pt;margin-top:43.800000000000004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3276600</wp:posOffset>
                </wp:positionH>
                <wp:positionV relativeFrom="paragraph">
                  <wp:posOffset>245110</wp:posOffset>
                </wp:positionV>
                <wp:extent cx="1722120" cy="25590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58.pt;margin-top:19.300000000000001pt;width:135.59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14300" distB="340995" distL="0" distR="0" simplePos="0" relativeHeight="125829383" behindDoc="0" locked="0" layoutInCell="1" allowOverlap="1">
                <wp:simplePos x="0" y="0"/>
                <wp:positionH relativeFrom="page">
                  <wp:posOffset>6205220</wp:posOffset>
                </wp:positionH>
                <wp:positionV relativeFrom="paragraph">
                  <wp:posOffset>114300</wp:posOffset>
                </wp:positionV>
                <wp:extent cx="987425" cy="2349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742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И.В. Поткина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8.60000000000002pt;margin-top:9.pt;width:77.75pt;height:18.5pt;z-index:-125829370;mso-wrap-distance-left:0;mso-wrap-distance-top:9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И.В. Поткина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103505" distB="0" distL="114300" distR="4095115" simplePos="0" relativeHeight="125829385" behindDoc="0" locked="0" layoutInCell="1" allowOverlap="1">
            <wp:simplePos x="0" y="0"/>
            <wp:positionH relativeFrom="page">
              <wp:posOffset>2861945</wp:posOffset>
            </wp:positionH>
            <wp:positionV relativeFrom="paragraph">
              <wp:posOffset>527050</wp:posOffset>
            </wp:positionV>
            <wp:extent cx="353695" cy="536575"/>
            <wp:wrapSquare wrapText="left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3319145</wp:posOffset>
                </wp:positionH>
                <wp:positionV relativeFrom="paragraph">
                  <wp:posOffset>926465</wp:posOffset>
                </wp:positionV>
                <wp:extent cx="1280160" cy="1035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1.35000000000002pt;margin-top:72.95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3276600</wp:posOffset>
                </wp:positionH>
                <wp:positionV relativeFrom="paragraph">
                  <wp:posOffset>615315</wp:posOffset>
                </wp:positionV>
                <wp:extent cx="1722120" cy="25590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58.pt;margin-top:48.450000000000003pt;width:135.59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01955" distL="3354070" distR="114935" simplePos="0" relativeHeight="125829386" behindDoc="0" locked="0" layoutInCell="1" allowOverlap="1">
                <wp:simplePos x="0" y="0"/>
                <wp:positionH relativeFrom="page">
                  <wp:posOffset>6101715</wp:posOffset>
                </wp:positionH>
                <wp:positionV relativeFrom="paragraph">
                  <wp:posOffset>423545</wp:posOffset>
                </wp:positionV>
                <wp:extent cx="1090930" cy="23495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Т.Н. Ролдугина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0.44999999999999pt;margin-top:33.350000000000001pt;width:85.900000000000006pt;height:18.5pt;z-index:-125829367;mso-wrap-distance-left:264.10000000000002pt;mso-wrap-distance-right:9.0500000000000007pt;mso-wrap-distance-bottom:31.650000000000002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Т.Н. Ролдугина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48310" distL="114300" distR="5405120" simplePos="0" relativeHeight="12582938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1441450</wp:posOffset>
                </wp:positionV>
                <wp:extent cx="1164590" cy="22860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645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58.050000000000004pt;margin-top:113.5pt;width:91.700000000000003pt;height:18.pt;z-index:-125829365;mso-wrap-distance-left:9.pt;mso-wrap-distance-right:425.60000000000002pt;mso-wrap-distance-bottom:35.30000000000000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3510" distB="0" distL="2239010" distR="4094480" simplePos="0" relativeHeight="125829390" behindDoc="0" locked="0" layoutInCell="1" allowOverlap="1">
            <wp:simplePos x="0" y="0"/>
            <wp:positionH relativeFrom="page">
              <wp:posOffset>2861945</wp:posOffset>
            </wp:positionH>
            <wp:positionV relativeFrom="paragraph">
              <wp:posOffset>1584960</wp:posOffset>
            </wp:positionV>
            <wp:extent cx="353695" cy="536575"/>
            <wp:wrapTopAndBottom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3319145</wp:posOffset>
                </wp:positionH>
                <wp:positionV relativeFrom="paragraph">
                  <wp:posOffset>1984375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61.35000000000002pt;margin-top:156.25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3276600</wp:posOffset>
                </wp:positionH>
                <wp:positionV relativeFrom="paragraph">
                  <wp:posOffset>1673225</wp:posOffset>
                </wp:positionV>
                <wp:extent cx="1722120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58.pt;margin-top:131.75pt;width:135.59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448310" distL="5673725" distR="114300" simplePos="0" relativeHeight="125829391" behindDoc="0" locked="0" layoutInCell="1" allowOverlap="1">
                <wp:simplePos x="0" y="0"/>
                <wp:positionH relativeFrom="page">
                  <wp:posOffset>6296660</wp:posOffset>
                </wp:positionH>
                <wp:positionV relativeFrom="paragraph">
                  <wp:posOffset>1441450</wp:posOffset>
                </wp:positionV>
                <wp:extent cx="895985" cy="22860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Т.С. Рябкова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5.80000000000001pt;margin-top:113.5pt;width:70.549999999999997pt;height:18.pt;z-index:-125829362;mso-wrap-distance-left:446.75pt;mso-wrap-distance-right:9.pt;mso-wrap-distance-bottom:35.300000000000004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Т.С. Рябкова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Поткина Ирина Владимировна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32323"/>
          <w:spacing w:val="0"/>
          <w:w w:val="100"/>
          <w:position w:val="0"/>
          <w:shd w:val="clear" w:color="auto" w:fill="auto"/>
          <w:lang w:val="ru-RU" w:eastAsia="ru-RU" w:bidi="ru-RU"/>
        </w:rPr>
        <w:t>75ВББ61С51608АБЕ1АА67874Е2Е2О9Е9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03.10.2023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26.12.2024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Зам. председателя Комиссии: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Ролдугина Татьяна Николаевна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610Е27024ВЕВ34А4501 98В5А4464784Е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3387" w:left="1101" w:header="0" w:footer="3" w:gutter="0"/>
          <w:cols w:space="7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18.03.2024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11.06.2025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Рябкова Татьяна Сергеевна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4ЕАС8ВЗА6В794913ВЕ30С11О87С737Е2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19.03.2024 </w:t>
      </w:r>
      <w:r>
        <w:rPr>
          <w:color w:val="8A8A8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C4C4C"/>
          <w:spacing w:val="0"/>
          <w:w w:val="100"/>
          <w:position w:val="0"/>
          <w:shd w:val="clear" w:color="auto" w:fill="auto"/>
          <w:lang w:val="ru-RU" w:eastAsia="ru-RU" w:bidi="ru-RU"/>
        </w:rPr>
        <w:t>12.06.2025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41" w:bottom="1110" w:left="110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3255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32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2024-8315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pt;margin-top:776.20000000000005pt;width:50.64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2024-8315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0"/>
      <w:numFmt w:val="decimal"/>
      <w:lvlText w:val="%1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start w:val="5"/>
      <w:numFmt w:val="decimal"/>
      <w:lvlText w:val="%1.%2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—"/>
    </w:lvl>
  </w:abstractNum>
  <w:abstractNum w:abstractNumId="2">
    <w:multiLevelType w:val="multilevel"/>
    <w:lvl w:ilvl="0">
      <w:start w:val="20"/>
      <w:numFmt w:val="decimal"/>
      <w:lvlText w:val="%1—"/>
    </w:lvl>
    <w:lvl w:ilvl="1">
      <w:start w:val="59"/>
      <w:numFmt w:val="decimal"/>
      <w:lvlText w:val="%1.%2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20"/>
      <w:numFmt w:val="decimal"/>
      <w:lvlText w:val="%1—"/>
    </w:lvl>
    <w:lvl w:ilvl="1">
      <w:start w:val="59"/>
      <w:numFmt w:val="decimal"/>
      <w:lvlText w:val="%1.%2—"/>
    </w:lvl>
    <w:lvl w:ilvl="2">
      <w:start w:val="12"/>
      <w:numFmt w:val="decimal"/>
      <w:lvlText w:val="%1.%2.%3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20"/>
      <w:numFmt w:val="decimal"/>
      <w:lvlText w:val="%1—"/>
    </w:lvl>
    <w:lvl w:ilvl="1">
      <w:start w:val="59"/>
      <w:numFmt w:val="decimal"/>
      <w:lvlText w:val="%1.%2—"/>
    </w:lvl>
    <w:lvl w:ilvl="2">
      <w:start w:val="12"/>
      <w:numFmt w:val="decimal"/>
      <w:lvlText w:val="%1.%2.%3—"/>
    </w:lvl>
    <w:lvl w:ilvl="3">
      <w:start w:val="120"/>
      <w:numFmt w:val="decimal"/>
      <w:lvlText w:val="%1.%2.%3.%4—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Подпись к картинке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3">
    <w:name w:val="Подпись к таблиц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6">
    <w:name w:val="Другое_"/>
    <w:basedOn w:val="DefaultParagraphFont"/>
    <w:link w:val="Style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60" w:line="278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9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Подпись к картинке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32323"/>
      <w:sz w:val="11"/>
      <w:szCs w:val="11"/>
      <w:u w:val="non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2">
    <w:name w:val="Подпись к таблице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25">
    <w:name w:val="Другое"/>
    <w:basedOn w:val="Normal"/>
    <w:link w:val="CharStyle26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ind w:left="34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1616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"ОК 034-2014 (КПЕС 2008). Общероссийский классификатор продукции по видам экономической деятельности"(утв. Приказом Росстандарта от 31.01.2014 N 14-ст)(ред. от 28.06.2024)(с изм. и доп., вступ. в силу с 01.07.2024)</dc:title>
  <dc:subject/>
  <dc:creator/>
  <cp:keywords/>
</cp:coreProperties>
</file>