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09600" cy="71310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09600" cy="7131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УПРАВЛЕНИЕ</w:t>
        <w:br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Вологодской области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160000, г. Вологда, ул. Пушкинская, 25, тел. (8172)72-99-70; факс (8172)72-46-64 е-тай: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1о35@Га8.доу.ги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Ьцр://уо1о§с1а.Га8.§оу.ги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59" w:lineRule="auto"/>
        <w:ind w:right="0" w:firstLine="2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57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«ГАРАНТ-М»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2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осуществлению закупки: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(Председатель комиссии - М.Ф.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Севастьянов;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7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- Чугреева Н.В, Кириллова А.Н.)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2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  <w:bookmarkEnd w:id="4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8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по регулированию контрактной системы Вологодской области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  <w:bookmarkEnd w:id="6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33" w:lineRule="auto"/>
        <w:ind w:left="5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Заказчики (согласно списку):</w:t>
      </w:r>
      <w:bookmarkEnd w:id="8"/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533" w:val="left"/>
          <w:tab w:leader="underscore" w:pos="2711" w:val="left"/>
          <w:tab w:leader="underscore" w:pos="3661" w:val="left"/>
          <w:tab w:leader="underscore" w:pos="924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  <w:tab/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Наименование заказчика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  <w:tab/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"ЧЕРЕПОВЕЦКАЯ</w:t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74" w:val="left"/>
          <w:tab w:leader="underscore" w:pos="924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СТАНЦИЯ СКОРОЙ МЕДИЦИНСКОЙ ПОМОЩИ"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"БЮРО СУДЕБНО-</w:t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74" w:val="left"/>
          <w:tab w:leader="underscore" w:pos="924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МЕДИЦИНСКОЙ ЭКСПЕРТИЗЫ"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74" w:val="left"/>
          <w:tab w:leader="underscore" w:pos="924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ГОРОДСКАЯ ПОЛИКЛИНИКА № 5"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</w:t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74" w:val="left"/>
          <w:tab w:leader="underscore" w:pos="924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ОБЛАСТНАЯ ДЕТСКАЯ КЛИНИЧЕСКАЯ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"БАБУШКИНСКАЯ</w:t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74" w:val="left"/>
          <w:tab w:leader="underscore" w:pos="924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"ЧАГОДОЩЕНСКАЯ</w:t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74" w:val="left"/>
          <w:tab w:leader="underscore" w:pos="7992" w:val="left"/>
          <w:tab w:leader="underscore" w:pos="924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  <w:tab/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"КАДУЙСКАЯ</w:t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74" w:val="left"/>
          <w:tab w:leader="underscore" w:pos="924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"ВОЛОГОДСКАЯ ОБЛАСТНАЯ КЛИНИЧЕСКАЯ БОЛЬНИЦА"</w:t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"КИРИЛЛОВСКАЯ</w:t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6156" w:val="left"/>
        </w:tabs>
        <w:bidi w:val="0"/>
        <w:spacing w:before="0" w:after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ЦЕНТРАЛЬНАЯ РАЙОННАЯ БОЛЬНИЦА"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"НИКОЛЬСКАЯ</w:t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ЦЕНТРАЛЬНАЯ РАЙОННАЯ БОЛЬНИЦА"</w:t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"ВОЛОГОДСКИЙ</w:t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ОБЛАСТНОЙ ЦЕНТР ОХРАНЫ ЗДОРОВЬЯ СЕМЬИ И РЕПРОДУКЦИИ"</w:t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6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ЗДРАВООХРАНЕНИЯ ВОЛОГОДСКОЙ ОБЛАСТИ "ВОЛОГОДСКИЙ ГОРОДСКОЙ РОДИЛЬНЫЙ ДОМ"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035/06/48-764/2024</w:t>
      </w:r>
      <w:bookmarkEnd w:id="10"/>
    </w:p>
    <w:p>
      <w:pPr>
        <w:pStyle w:val="Style4"/>
        <w:keepNext w:val="0"/>
        <w:keepLines w:val="0"/>
        <w:widowControl w:val="0"/>
        <w:shd w:val="clear" w:color="auto" w:fill="auto"/>
        <w:tabs>
          <w:tab w:pos="8719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«26» сентября 2024 г.</w:t>
        <w:tab/>
        <w:t>г. Вологда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Управления Федеральной антимонопольной службы по Вологодской области (далее - комиссия Управления) в составе: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Сучков О.Н. - председатель комиссии Управления, временно исполняющий обязанности руководителя Управления Федеральной антимонопольной службы по Вологодской области,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Смышляева И.А. - член комиссии Управления, начальник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Косоногова Е.А. - член комиссии Управления, старший специалист 1 разряда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№ 035/06/48-764/2024 от 26.09.2024, принятого по итогам рассмотрения жалобы ООО «Гарант-М» на действия комиссии по осуществлению закупки, совершенные при рассмотрении заявок на участие в закупке, предмет закупки - поставка медицинских изделий: перчатки смотровые/процедурные из латекса гевеи, неопудрснные, стерильные, извещение № 0130200002424000195 (далее - закупка),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12"/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Заказчикам отменить процедуру заключения контрактов по результатам проведения закупки.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закупки отменить протокол подведения итогов определения поставщика (подрядчика, исполнителя) от 17.09.2024 №ИЭА2. составленный в ходе проведения закупки.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закупки повторно рассмотреть заявки на участие в закупке с учетом требований действующего законодательства и принятого решения Комиссии Управления.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Заказчикам, Уполномоченному органу, Оператору электронной площадки обеспечить возможность исполнения настоящего предписания.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Заказчикам, Комиссии по осуществлению закупки. Уполномоченному органу Оператору электронной площадки исполнить предписание в срок до 11.10.2024 (включительно).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закупки, Уполномоченному органу, Оператору электронной площадки сообщить в Управление Федеральной антимонопольной службы по Вологодской области об исполнении предписания в срок до 14.10.2024 (включительно).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6394" w:val="left"/>
        </w:tabs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судебном порядке в течение трех месяцев со дня его вынесения.</w:t>
        <w:tab/>
      </w:r>
      <w:r>
        <w:rPr>
          <w:color w:val="979FBF"/>
          <w:spacing w:val="0"/>
          <w:w w:val="100"/>
          <w:position w:val="0"/>
          <w:shd w:val="clear" w:color="auto" w:fill="auto"/>
          <w:lang w:val="ru-RU" w:eastAsia="ru-RU" w:bidi="ru-RU"/>
        </w:rPr>
        <w:t>/</w:t>
      </w:r>
    </w:p>
    <w:tbl>
      <w:tblPr>
        <w:tblOverlap w:val="never"/>
        <w:jc w:val="center"/>
        <w:tblLayout w:type="fixed"/>
      </w:tblPr>
      <w:tblGrid>
        <w:gridCol w:w="7232"/>
        <w:gridCol w:w="2682"/>
      </w:tblGrid>
      <w:tr>
        <w:trPr>
          <w:trHeight w:val="43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Председатель комиссии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О.Н. Сучков</w:t>
            </w:r>
          </w:p>
        </w:tc>
      </w:tr>
      <w:tr>
        <w:trPr>
          <w:trHeight w:val="569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tabs>
                <w:tab w:pos="4973" w:val="left"/>
              </w:tabs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Члены комиссии:</w:t>
              <w:tab/>
            </w:r>
            <w:r>
              <w:rPr>
                <w:color w:val="5E5DB2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,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И.А. Смышляева</w:t>
            </w:r>
          </w:p>
        </w:tc>
      </w:tr>
      <w:tr>
        <w:trPr>
          <w:trHeight w:val="410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Е.А. Косоногова</w:t>
            </w:r>
          </w:p>
        </w:tc>
      </w:tr>
    </w:tbl>
    <w:p>
      <w:pPr>
        <w:widowControl w:val="0"/>
        <w:spacing w:after="61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предусмотрена административная ответственность в виде наложения административного штрафа на должностных лиц в размере пятидесяти тысяч рублей; на юридических лиц - пятисот тысяч рублей (ч. 7 ст. 19.5 КоАП РФ).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94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Повторное совершение должностным лицом административных правонарушений, предусмотренных частями 7 и 7.1 настоящей статьи, - влечет дисквалификацию сроком на один год (ч. 7.3 ст. 19.5 КоАП РФ).</w:t>
      </w:r>
    </w:p>
    <w:sectPr>
      <w:headerReference w:type="default" r:id="rId7"/>
      <w:headerReference w:type="first" r:id="rId8"/>
      <w:footnotePr>
        <w:pos w:val="pageBottom"/>
        <w:numFmt w:val="decimal"/>
        <w:numRestart w:val="continuous"/>
      </w:footnotePr>
      <w:pgSz w:w="11900" w:h="16840"/>
      <w:pgMar w:top="1196" w:right="821" w:bottom="1301" w:left="1125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6936740</wp:posOffset>
              </wp:positionH>
              <wp:positionV relativeFrom="page">
                <wp:posOffset>521970</wp:posOffset>
              </wp:positionV>
              <wp:extent cx="50165" cy="9588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165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46.20000000000005pt;margin-top:41.100000000000001pt;width:3.9500000000000002pt;height:7.5499999999999998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Основной текст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Основной текст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Друго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80" w:line="226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Основной текст"/>
    <w:basedOn w:val="Normal"/>
    <w:link w:val="CharStyle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ind w:left="5780" w:firstLine="1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Основной текст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Другое"/>
    <w:basedOn w:val="Normal"/>
    <w:link w:val="CharStyle2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