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both"/>
        <w:rPr>
          <w:sz w:val="20"/>
          <w:szCs w:val="20"/>
        </w:rPr>
      </w:pPr>
      <w:r>
        <w:rPr>
          <w:b w:val="0"/>
          <w:bCs w:val="0"/>
          <w:spacing w:val="0"/>
          <w:w w:val="100"/>
          <w:position w:val="0"/>
          <w:sz w:val="20"/>
          <w:szCs w:val="20"/>
          <w:shd w:val="clear" w:color="auto" w:fill="auto"/>
          <w:lang w:val="ru-RU" w:eastAsia="ru-RU" w:bidi="ru-RU"/>
        </w:rPr>
        <w:tab/>
        <w:t xml:space="preserve"> №</w:t>
        <w:tab/>
      </w:r>
    </w:p>
    <w:p>
      <w:pPr>
        <w:pStyle w:val="Style1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52" w:lineRule="auto"/>
        <w:ind w:left="0" w:right="0" w:firstLine="0"/>
        <w:jc w:val="left"/>
      </w:pPr>
      <w:r>
        <w:rPr>
          <w:color w:val="000000"/>
          <w:spacing w:val="0"/>
          <w:w w:val="100"/>
          <w:position w:val="0"/>
          <w:sz w:val="24"/>
          <w:szCs w:val="24"/>
          <w:shd w:val="clear" w:color="auto" w:fill="auto"/>
          <w:lang w:val="ru-RU" w:eastAsia="ru-RU" w:bidi="ru-RU"/>
        </w:rPr>
        <w:t>ООО «Санстрой»</w:t>
      </w:r>
    </w:p>
    <w:p>
      <w:pPr>
        <w:pStyle w:val="Style13"/>
        <w:keepNext w:val="0"/>
        <w:keepLines w:val="0"/>
        <w:widowControl w:val="0"/>
        <w:shd w:val="clear" w:color="auto" w:fill="auto"/>
        <w:bidi w:val="0"/>
        <w:spacing w:before="0" w:after="240" w:line="252" w:lineRule="auto"/>
        <w:ind w:left="0" w:right="0" w:firstLine="0"/>
        <w:jc w:val="left"/>
      </w:pPr>
      <w:r>
        <w:rPr>
          <w:color w:val="000000"/>
          <w:spacing w:val="0"/>
          <w:w w:val="100"/>
          <w:position w:val="0"/>
          <w:sz w:val="24"/>
          <w:szCs w:val="24"/>
          <w:shd w:val="clear" w:color="auto" w:fill="auto"/>
          <w:lang w:val="ru-RU" w:eastAsia="ru-RU" w:bidi="ru-RU"/>
        </w:rPr>
        <w:t>Фермское ш., д. 32, Литера А, помещ. 82-Н, офис 2, г. Санкт-Петербург, 197341 8ап81гоу.2023@тай.ш</w:t>
      </w:r>
    </w:p>
    <w:p>
      <w:pPr>
        <w:pStyle w:val="Style13"/>
        <w:keepNext w:val="0"/>
        <w:keepLines w:val="0"/>
        <w:widowControl w:val="0"/>
        <w:shd w:val="clear" w:color="auto" w:fill="auto"/>
        <w:bidi w:val="0"/>
        <w:spacing w:before="0" w:after="0" w:line="252" w:lineRule="auto"/>
        <w:ind w:left="0" w:right="0" w:firstLine="0"/>
        <w:jc w:val="left"/>
      </w:pPr>
      <w:r>
        <w:rPr>
          <w:color w:val="000000"/>
          <w:spacing w:val="0"/>
          <w:w w:val="100"/>
          <w:position w:val="0"/>
          <w:sz w:val="24"/>
          <w:szCs w:val="24"/>
          <w:shd w:val="clear" w:color="auto" w:fill="auto"/>
          <w:lang w:val="ru-RU" w:eastAsia="ru-RU" w:bidi="ru-RU"/>
        </w:rPr>
        <w:t>КГБУЗ «Красноярская межрайонная больница № 2» ул. 40 лет Победы 2 стр.3, г. Красноярск, 660119 дЬ2тГо@тЬох.ш;</w:t>
      </w:r>
    </w:p>
    <w:p>
      <w:pPr>
        <w:pStyle w:val="Style13"/>
        <w:keepNext w:val="0"/>
        <w:keepLines w:val="0"/>
        <w:widowControl w:val="0"/>
        <w:shd w:val="clear" w:color="auto" w:fill="auto"/>
        <w:bidi w:val="0"/>
        <w:spacing w:before="0" w:after="240" w:line="252" w:lineRule="auto"/>
        <w:ind w:left="0" w:right="0" w:firstLine="0"/>
        <w:jc w:val="left"/>
      </w:pPr>
      <w:r>
        <w:rPr>
          <w:color w:val="000000"/>
          <w:spacing w:val="0"/>
          <w:w w:val="100"/>
          <w:position w:val="0"/>
          <w:sz w:val="24"/>
          <w:szCs w:val="24"/>
          <w:shd w:val="clear" w:color="auto" w:fill="auto"/>
          <w:lang w:val="ru-RU" w:eastAsia="ru-RU" w:bidi="ru-RU"/>
        </w:rPr>
        <w:t>д2та8кикоVа@тЬоx.ш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Агентства государственного заказа Красноярского края</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Пр-т Мира, д. 10, оф. 53, г. Красноярск, 660049 ад/ рпет@та11.ги;</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ад/ с1иЬ1Ч)ука@та11.ги</w:t>
      </w:r>
    </w:p>
    <w:p>
      <w:pPr>
        <w:pStyle w:val="Style13"/>
        <w:keepNext w:val="0"/>
        <w:keepLines w:val="0"/>
        <w:widowControl w:val="0"/>
        <w:shd w:val="clear" w:color="auto" w:fill="auto"/>
        <w:bidi w:val="0"/>
        <w:spacing w:before="0" w:after="0" w:line="254" w:lineRule="auto"/>
        <w:ind w:left="0" w:right="0" w:firstLine="0"/>
        <w:jc w:val="left"/>
        <w:sectPr>
          <w:footerReference w:type="default" r:id="rId9"/>
          <w:footerReference w:type="first" r:id="rId10"/>
          <w:footnotePr>
            <w:pos w:val="pageBottom"/>
            <w:numFmt w:val="decimal"/>
            <w:numRestart w:val="continuous"/>
          </w:footnotePr>
          <w:pgSz w:w="11900" w:h="16840"/>
          <w:pgMar w:top="284" w:right="1712" w:bottom="1217" w:left="1140" w:header="0" w:footer="3" w:gutter="0"/>
          <w:pgNumType w:start="1"/>
          <w:cols w:num="2" w:space="1133"/>
          <w:noEndnote/>
          <w:titlePg/>
          <w:rtlGutter w:val="0"/>
          <w:docGrid w:linePitch="360"/>
        </w:sectPr>
      </w:pPr>
      <w:r>
        <w:rPr>
          <w:color w:val="000000"/>
          <w:spacing w:val="0"/>
          <w:w w:val="100"/>
          <w:position w:val="0"/>
          <w:sz w:val="24"/>
          <w:szCs w:val="24"/>
          <w:shd w:val="clear" w:color="auto" w:fill="auto"/>
          <w:lang w:val="ru-RU" w:eastAsia="ru-RU" w:bidi="ru-RU"/>
        </w:rPr>
        <w:t>АО «Сбербанк-АСТ» ко@8ЬегЬапк-а8Еш</w:t>
      </w:r>
    </w:p>
    <w:p>
      <w:pPr>
        <w:widowControl w:val="0"/>
        <w:spacing w:before="108" w:after="10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26" w:right="0" w:bottom="1175" w:left="0" w:header="0" w:footer="3" w:gutter="0"/>
          <w:cols w:space="720"/>
          <w:noEndnote/>
          <w:rtlGutter w:val="0"/>
          <w:docGrid w:linePitch="360"/>
        </w:sectPr>
      </w:pPr>
    </w:p>
    <w:p>
      <w:pPr>
        <w:pStyle w:val="Style13"/>
        <w:keepNext w:val="0"/>
        <w:keepLines w:val="0"/>
        <w:widowControl w:val="0"/>
        <w:shd w:val="clear" w:color="auto" w:fill="auto"/>
        <w:bidi w:val="0"/>
        <w:spacing w:before="0" w:after="260" w:line="240" w:lineRule="auto"/>
        <w:ind w:left="0" w:right="0" w:firstLine="0"/>
        <w:jc w:val="center"/>
      </w:pPr>
      <w:r>
        <w:rPr>
          <w:color w:val="000000"/>
          <w:spacing w:val="0"/>
          <w:w w:val="100"/>
          <w:position w:val="0"/>
          <w:sz w:val="24"/>
          <w:szCs w:val="24"/>
          <w:shd w:val="clear" w:color="auto" w:fill="auto"/>
          <w:lang w:val="ru-RU" w:eastAsia="ru-RU" w:bidi="ru-RU"/>
        </w:rPr>
        <w:t>Решение №024/06/106-2964/2024</w:t>
      </w:r>
    </w:p>
    <w:p>
      <w:pPr>
        <w:pStyle w:val="Style13"/>
        <w:keepNext w:val="0"/>
        <w:keepLines w:val="0"/>
        <w:widowControl w:val="0"/>
        <w:shd w:val="clear" w:color="auto" w:fill="auto"/>
        <w:bidi w:val="0"/>
        <w:spacing w:before="0" w:after="260" w:line="240" w:lineRule="auto"/>
        <w:ind w:left="0" w:right="0" w:firstLine="720"/>
        <w:jc w:val="both"/>
      </w:pPr>
      <w:r>
        <mc:AlternateContent>
          <mc:Choice Requires="wps">
            <w:drawing>
              <wp:anchor distT="0" distB="0" distL="114300" distR="114300" simplePos="0" relativeHeight="125829378" behindDoc="0" locked="0" layoutInCell="1" allowOverlap="1">
                <wp:simplePos x="0" y="0"/>
                <wp:positionH relativeFrom="page">
                  <wp:posOffset>6234430</wp:posOffset>
                </wp:positionH>
                <wp:positionV relativeFrom="paragraph">
                  <wp:posOffset>12700</wp:posOffset>
                </wp:positionV>
                <wp:extent cx="941705" cy="222250"/>
                <wp:wrapSquare wrapText="left"/>
                <wp:docPr id="7" name="Shape 7"/>
                <a:graphic xmlns:a="http://schemas.openxmlformats.org/drawingml/2006/main">
                  <a:graphicData uri="http://schemas.microsoft.com/office/word/2010/wordprocessingShape">
                    <wps:wsp>
                      <wps:cNvSpPr txBox="1"/>
                      <wps:spPr>
                        <a:xfrm>
                          <a:ext cx="941705" cy="2222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3" type="#_x0000_t202" style="position:absolute;margin-left:490.90000000000003pt;margin-top:1.pt;width:74.150000000000006pt;height:17.5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26 сентября 2024 года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 Дударева, врио руководителя, члены Комиссии: М.А. Грицай, начальник отдела, В.С. Гамазина, государственный инспектор (далее - Комиссия), рассмотрев жалобу ООО «Санстрой» (далее - податель жалобы) на действия комиссии по осуществлению закупок уполномоченного органа - Агентства государственного заказа Красноярского края (далее - аукционная комиссия, уполномоченный орган) при проведении аукциона в электронной форме ЭА-№-15055/24 «Поставка с доставкой сантехнических товаров для нужд КГБУЗ «КМБ № 2» (далее - электронный аукцион, закупка), извещение</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 0119200000124014633 на электронной торговой площадке АО «Сбербанк-АСТ»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адрес Красноярского УФАС России поступила жалоба на действия аукционной комиссии при проведении электронного аукциона.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Существо жалобы: нарушение комиссией по осуществлению закупок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рассмотрении заявок участников электронного аукциона.</w:t>
      </w:r>
    </w:p>
    <w:p>
      <w:pPr>
        <w:pStyle w:val="Style13"/>
        <w:keepNext w:val="0"/>
        <w:keepLines w:val="0"/>
        <w:widowControl w:val="0"/>
        <w:shd w:val="clear" w:color="auto" w:fill="auto"/>
        <w:bidi w:val="0"/>
        <w:spacing w:before="0" w:after="160" w:line="240" w:lineRule="auto"/>
        <w:ind w:left="0" w:right="0" w:firstLine="740"/>
        <w:jc w:val="both"/>
      </w:pPr>
      <w:r>
        <w:rPr>
          <w:color w:val="000000"/>
          <w:spacing w:val="0"/>
          <w:w w:val="100"/>
          <w:position w:val="0"/>
          <w:sz w:val="24"/>
          <w:szCs w:val="24"/>
          <w:shd w:val="clear" w:color="auto" w:fill="auto"/>
          <w:lang w:val="ru-RU" w:eastAsia="ru-RU" w:bidi="ru-RU"/>
        </w:rPr>
        <w:t>Жалоба поступила в адрес Красноярского УФАС России в срок, установленный частью 2 статьи 105 Закона о контрактной системе, соответствовала требованиям части 4 статьи 105</w:t>
      </w:r>
    </w:p>
    <w:p>
      <w:pPr>
        <w:pStyle w:val="Style15"/>
        <w:keepNext/>
        <w:keepLines/>
        <w:widowControl w:val="0"/>
        <w:shd w:val="clear" w:color="auto" w:fill="auto"/>
        <w:bidi w:val="0"/>
        <w:spacing w:before="0" w:after="0" w:line="240" w:lineRule="auto"/>
        <w:ind w:left="0" w:right="0" w:firstLine="0"/>
        <w:jc w:val="both"/>
        <w:rPr>
          <w:sz w:val="24"/>
          <w:szCs w:val="24"/>
        </w:rPr>
      </w:pPr>
      <w:bookmarkStart w:id="0" w:name="bookmark0"/>
      <w:r>
        <w:rPr>
          <w:color w:val="000000"/>
          <w:spacing w:val="0"/>
          <w:w w:val="100"/>
          <w:position w:val="0"/>
          <w:sz w:val="38"/>
          <w:szCs w:val="38"/>
          <w:shd w:val="clear" w:color="auto" w:fill="auto"/>
          <w:lang w:val="ru-RU" w:eastAsia="ru-RU" w:bidi="ru-RU"/>
        </w:rPr>
        <w:t>||||||||||||||||||||||||</w:t>
      </w:r>
      <w:bookmarkEnd w:id="0"/>
      <w:r>
        <w:rPr>
          <w:color w:val="000000"/>
          <w:spacing w:val="0"/>
          <w:w w:val="100"/>
          <w:position w:val="0"/>
          <w:sz w:val="38"/>
          <w:szCs w:val="38"/>
          <w:shd w:val="clear" w:color="auto" w:fill="auto"/>
          <w:lang w:val="ru-RU" w:eastAsia="ru-RU" w:bidi="ru-RU"/>
        </w:rPr>
        <w:t xml:space="preserve"> </w:t>
      </w:r>
      <w:r>
        <w:rPr>
          <w:rStyle w:val="CharStyle14"/>
        </w:rPr>
        <w:t>указанного закона, в связи с чем подлежала принятию к рассмотрению по существу.</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адреса подателя жалобы, заказчика, аукционной комиссии, уполномоченного органа, оператора электронной площадки были направлены уведомления о содержании жалобы с информацией о месте и времени рассмотрения жалобы.</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Рассмотрение жалобы состоялось 26.09.2024 в 11 часов 30 минут. На рассмотрении жалобы по существу присутствовали представитель уполномоченного органа и представитель заказчик, надлежащим образом подтвердившие свои личность и полномочия. Податель жалобы надлежащим образом извещенный о дате и времени рассмотрения жалобы, присутствие представителя не обеспечил, каких-либо ходатайств в адрес Красноярского УФАС России не направил.</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Из доводов жалобы следует, что аукционной комиссией было принято неправомерное решение об отклонении заявки подателя жалобы, поскольку им в заявке была представлена актуальная и достоверная информация, которая содержит номер реестровой записи. Однако, информация о совокупном количестве баллов в представленной информации отсутствует.</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обоснование своего довода податель жалобы указывает, что выписка из реестра российской промышленной продукции совокупного количества баллов не содержит, поэтому в предоставленной в заявке информации они не указаны.</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и уполномоченный орган в отношении жалобы представили в письменной форме возражения, с просьбой признать жалобу необоснованной.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связи с возникшей у заказчика потребностью уполномоченным органом были совершены действия по проведению электронного аукциона с установлением начальной (максимальной) цены контракта 40 796,01 рублей.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15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w:t>
      </w:r>
      <w:r>
        <w:rPr>
          <w:color w:val="000000"/>
          <w:spacing w:val="0"/>
          <w:w w:val="100"/>
          <w:position w:val="0"/>
          <w:sz w:val="24"/>
          <w:szCs w:val="24"/>
          <w:shd w:val="clear" w:color="auto" w:fill="auto"/>
          <w:lang w:val="ru-RU" w:eastAsia="ru-RU" w:bidi="ru-RU"/>
        </w:rPr>
        <w:t>допускающие исключения из установленных в соответствии с частью 3 статьи 14 Закона о контрактной системе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 (пункт 2 Постановления № 617).</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пункта 7 Постановления № 617 для целей его реализации подтверждением страны происхождения отдельных видов промышленных товаров является одно из следующих условий:</w:t>
      </w:r>
    </w:p>
    <w:p>
      <w:pPr>
        <w:pStyle w:val="Style13"/>
        <w:keepNext w:val="0"/>
        <w:keepLines w:val="0"/>
        <w:widowControl w:val="0"/>
        <w:numPr>
          <w:ilvl w:val="0"/>
          <w:numId w:val="1"/>
        </w:numPr>
        <w:shd w:val="clear" w:color="auto" w:fill="auto"/>
        <w:tabs>
          <w:tab w:pos="108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pPr>
        <w:pStyle w:val="Style13"/>
        <w:keepNext w:val="0"/>
        <w:keepLines w:val="0"/>
        <w:widowControl w:val="0"/>
        <w:numPr>
          <w:ilvl w:val="0"/>
          <w:numId w:val="1"/>
        </w:numPr>
        <w:shd w:val="clear" w:color="auto" w:fill="auto"/>
        <w:tabs>
          <w:tab w:pos="108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пунктом 9 Постановления № 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На основании анализа положений извещения о проведении электронного аукциона, </w:t>
      </w:r>
      <w:r>
        <w:rPr>
          <w:color w:val="000000"/>
          <w:spacing w:val="0"/>
          <w:w w:val="100"/>
          <w:position w:val="0"/>
          <w:sz w:val="24"/>
          <w:szCs w:val="24"/>
          <w:shd w:val="clear" w:color="auto" w:fill="auto"/>
          <w:lang w:val="ru-RU" w:eastAsia="ru-RU" w:bidi="ru-RU"/>
        </w:rPr>
        <w:t>сформированных с использованием ЕИС при заполнении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а также при прикреплении электронных документов (часть 2 статьи 42 Закона о контрактной системе, пункт 4 вышеуказанного Положения), Комиссия установила, что заказчиком осуществляется закупка сантехнческих товаров, соответствующих коду ОКПД2 25.21.11.120.</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Товар, отнесенный к коду ОКПД2 25.21.11.120, являющийся объектом закупки, включен в пункт 93 Перечня.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Проанализировав извещение о проведении электронного аукциона, Комиссия установила, что заказчиком, уполномоченным органом было установлено ограничение допуска отдельных видов промышленных товаров в соответствии с Постановлением № 617, что, с учетом положений Постановления № 617, объекта закупки и отнесения его к коду ОКПД2 25.21.11.120, является правомерным.</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 Постановления Правительства РФ от 17.07.2015 № 719 «О подтверждении производства промышленной продукции на территории Российской Федерации» (далее - Постановление Правительства РФ № 719) установлены критерии подтверждения производства промышленной продукции на территории Российской Федерации.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Приложением к Постановлению Правительства РФ № 719 являются требования к промышленной продукции, предъявляемые в целях ее отнесения к продукции, произведенной на территории РФ.</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частности, пунктом 30 Примечаний к Постановлению Правительства РФ № 719, для целей осуществления закупок продукции, включенной в раздел XXIII приложения к указанному постановлению с кодом ОКПД2 - 25.21.11.120 «Радиаторы центрального отопления и их секции стальные» может быть отнесена к продукции, произведенной на территории РФ при условии достижения совокупного количества баллов - не менее 15.</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вышеизложенного Комиссия приходит к выводу о том, что на момент размещения извещения о проведении электронного аукциона, информация о совокупном количестве баллов для приобретаемого заказчиком вида продукции была предусмотрена Постановлением Правительства РФ № 719. При этом, Постановление № 617 устанавливает требование о представлении сведений о совокупном количестве баллов в случае, если такие баллы предусмотрены Постановлением Правительства РФ № 719.</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5 части 1 статьи 43 Закона о контрактной системе установлено, что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частью 1 статьи 43 Закона о контрактной системе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Согласно подпункту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w:t>
      </w:r>
      <w:r>
        <w:rPr>
          <w:color w:val="000000"/>
          <w:spacing w:val="0"/>
          <w:w w:val="100"/>
          <w:position w:val="0"/>
          <w:sz w:val="24"/>
          <w:szCs w:val="24"/>
          <w:shd w:val="clear" w:color="auto" w:fill="auto"/>
          <w:lang w:val="ru-RU" w:eastAsia="ru-RU" w:bidi="ru-RU"/>
        </w:rPr>
        <w:t>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пунктом 4 части 12 статьи 48 Закона о контрактной системе при рассмотрении заявок на участие в закупке соответствующая заявка подлежит отклонению в случае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пункта 2 части 5 статьи 49 Закона о контрактной системе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в том числе обоснование принятого аукционной комиссией решения об отклонении заявки на участие в закупке.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сведений, представленных оператором электронной площадки, Комиссия установила, что на участие было подано 9 заявок.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Из протокола подведения итогов электронного аукциона от 19.09.2024 №ИЭА1 следует, что по результатам рассмотрения, все заявки признаны аукционной комиссией соответствующими требованиям извещения о проведении электронного аукциона.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Проанализировав фактическое содержание заявок на участие в электронном аукционе, Комиссией установлено следующее: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 В заявках с идентификационным номером 49, 113, 123, 179, 196, 212, 224, участники закупки представили реестровые номера выписок из Реестра российской промышленной продукции, подтверждающую производство промышленной продукции на территории РФ, однако в представленных выписках информация о совокупном количестве баллов отсутствует;</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2. В заявках с идентификационным номером 38, 65 участники закупки представили реестровые номера выписок из Реестра российской промышленной продукции, подтверждающую производство промышленной продукции на территории РФ, которые содержат информацию о совокупном количестве баллов.</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Победителем закупки был признан участник с идентификационным номером 38, который предложил наименьшую цену.</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вышеизложенных обстоятельств, Комиссия пришла к выводу о том, что при проведении электронного аукциона, заявка подателя жалобы с идентификационным номером 196, была отклонена верно.</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также отмечает, что в соответствии с Положением о Министерстве промышленности и торговли Российской Федерации, утвержденным постановлением Правительства Российской Федерации от 05.06.2008 № 438, Минпромторг России не наделен полномочиями по разъяснению законодательства Российской Федерации. Вместе с тем, согласно приведенным подателем жалобы разъясняющим письмам Министерства промышленности и торговли Российской Федерации «комиссия по осуществлению закупок самостоятельно принимает решение о соответствии товара (промышленной продукции), руководствуясь общими нормами Закона о контрактной системе, а также осуществляет проверку соответствующих реестровых записей из реестра, в частности, на предмет соответствия страны происхождения товара и требованиям действующего законодательства».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Более того, рассматриваемое письмо выражает позицию Министерства в отношении продукции, включенной в разделы III, V, VII, XXI, XXV и XXVI приложения к Постановлению Правительства РФ № 719, переметом же рассмотрения настоящей жалобы является продукция, включенная в раздел XVII приложения к Постановлению Правительства РФ № 719.</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Учитывая, что наличие информации о совокупном количестве баллов для приобретаемого заказчиком вида продукции на момент размещения извещения о проведении </w:t>
      </w:r>
      <w:r>
        <w:rPr>
          <w:color w:val="000000"/>
          <w:spacing w:val="0"/>
          <w:w w:val="100"/>
          <w:position w:val="0"/>
          <w:sz w:val="24"/>
          <w:szCs w:val="24"/>
          <w:shd w:val="clear" w:color="auto" w:fill="auto"/>
          <w:lang w:val="ru-RU" w:eastAsia="ru-RU" w:bidi="ru-RU"/>
        </w:rPr>
        <w:t>электронного аукциона предусмотрено Постановлением Правительства РФ № 719, Комиссия Красноярского УФАС России не усматривает в действиях аукционной комиссии нарушения требований законодательства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также отмечает, что согласно письму Минпромторга России от 22.02.2024 № КА-17291/07 постановление № 719, предусматривает необходимость наличия заключения, содержащего информацию о совокупном количестве баллов за выполнение (освоение) на территории Российской Федерации соответствующих операций (условий), для подтверждения производства на территории Российской Федерации промышленной продукции, в отношении которой установлены такие требования о совокупном количестве баллов, и с целью ее допуска к закупкам, осуществляемым для обеспечения государственных и муниципальных нужд. О необходимости руководствоваться указанной позицией также высказался Центральный аппарат ФАС России в своём письме от 17.07.2024 № ПИ/63206/24.</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статьи 99, частью 8 статьи 106 Закона о контрактной системе Комиссия Красноярского УФАС России решила признать жалобу ООО «Санстрой» необоснованной.</w:t>
      </w:r>
    </w:p>
    <w:p>
      <w:pPr>
        <w:pStyle w:val="Style13"/>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tabs>
          <w:tab w:pos="8587" w:val="left"/>
        </w:tabs>
        <w:bidi w:val="0"/>
        <w:spacing w:before="0" w:after="560" w:line="240" w:lineRule="auto"/>
        <w:ind w:left="0" w:right="0" w:firstLine="720"/>
        <w:jc w:val="both"/>
      </w:pPr>
      <w:r>
        <w:rPr>
          <w:color w:val="000000"/>
          <w:spacing w:val="0"/>
          <w:w w:val="100"/>
          <w:position w:val="0"/>
          <w:sz w:val="24"/>
          <w:szCs w:val="24"/>
          <w:shd w:val="clear" w:color="auto" w:fill="auto"/>
          <w:lang w:val="ru-RU" w:eastAsia="ru-RU" w:bidi="ru-RU"/>
        </w:rPr>
        <w:t>Председатель Комиссии</w:t>
        <w:tab/>
        <w:t>М.А. Дударева</w:t>
      </w:r>
    </w:p>
    <w:p>
      <w:pPr>
        <w:pStyle w:val="Style13"/>
        <w:keepNext w:val="0"/>
        <w:keepLines w:val="0"/>
        <w:widowControl w:val="0"/>
        <w:shd w:val="clear" w:color="auto" w:fill="auto"/>
        <w:tabs>
          <w:tab w:pos="8846" w:val="left"/>
        </w:tabs>
        <w:bidi w:val="0"/>
        <w:spacing w:before="0" w:after="560" w:line="240" w:lineRule="auto"/>
        <w:ind w:left="0" w:right="0" w:firstLine="720"/>
        <w:jc w:val="both"/>
      </w:pPr>
      <w:r>
        <w:rPr>
          <w:color w:val="000000"/>
          <w:spacing w:val="0"/>
          <w:w w:val="100"/>
          <w:position w:val="0"/>
          <w:sz w:val="24"/>
          <w:szCs w:val="24"/>
          <w:shd w:val="clear" w:color="auto" w:fill="auto"/>
          <w:lang w:val="ru-RU" w:eastAsia="ru-RU" w:bidi="ru-RU"/>
        </w:rPr>
        <w:t>Члены Комиссии</w:t>
        <w:tab/>
        <w:t>М.А. Грицай</w:t>
      </w:r>
    </w:p>
    <w:p>
      <w:pPr>
        <w:pStyle w:val="Style13"/>
        <w:keepNext w:val="0"/>
        <w:keepLines w:val="0"/>
        <w:widowControl w:val="0"/>
        <w:shd w:val="clear" w:color="auto" w:fill="auto"/>
        <w:bidi w:val="0"/>
        <w:spacing w:before="0" w:after="5000" w:line="240" w:lineRule="auto"/>
        <w:ind w:left="0" w:right="0" w:firstLine="0"/>
        <w:jc w:val="right"/>
      </w:pPr>
      <w:r>
        <w:rPr>
          <w:color w:val="000000"/>
          <w:spacing w:val="0"/>
          <w:w w:val="100"/>
          <w:position w:val="0"/>
          <w:sz w:val="24"/>
          <w:szCs w:val="24"/>
          <w:shd w:val="clear" w:color="auto" w:fill="auto"/>
          <w:lang w:val="ru-RU" w:eastAsia="ru-RU" w:bidi="ru-RU"/>
        </w:rPr>
        <w:t>В.С. Гамазина</w:t>
      </w:r>
    </w:p>
    <w:p>
      <w:pPr>
        <w:pStyle w:val="Style8"/>
        <w:keepNext w:val="0"/>
        <w:keepLines w:val="0"/>
        <w:widowControl w:val="0"/>
        <w:shd w:val="clear" w:color="auto" w:fill="auto"/>
        <w:bidi w:val="0"/>
        <w:spacing w:before="0" w:after="560" w:line="240" w:lineRule="auto"/>
        <w:ind w:left="0" w:right="0" w:firstLine="0"/>
        <w:jc w:val="both"/>
        <w:rPr>
          <w:sz w:val="20"/>
          <w:szCs w:val="20"/>
        </w:rPr>
      </w:pPr>
      <w:r>
        <w:rPr>
          <w:b w:val="0"/>
          <w:bCs w:val="0"/>
          <w:color w:val="000000"/>
          <w:spacing w:val="0"/>
          <w:w w:val="100"/>
          <w:position w:val="0"/>
          <w:sz w:val="20"/>
          <w:szCs w:val="20"/>
          <w:shd w:val="clear" w:color="auto" w:fill="auto"/>
          <w:lang w:val="ru-RU" w:eastAsia="ru-RU" w:bidi="ru-RU"/>
        </w:rPr>
        <w:t>Исп.Гамазина В.С. тел.211-01-44</w:t>
      </w:r>
    </w:p>
    <w:sectPr>
      <w:footnotePr>
        <w:pos w:val="pageBottom"/>
        <w:numFmt w:val="decimal"/>
        <w:numRestart w:val="continuous"/>
      </w:footnotePr>
      <w:type w:val="continuous"/>
      <w:pgSz w:w="11900" w:h="16840"/>
      <w:pgMar w:top="326" w:right="535" w:bottom="1175" w:left="10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10010775</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2024-16254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050000000000004pt;margin-top:788.2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2024-16254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2024-16254</w:t>
                          </w:r>
                        </w:p>
                      </w:txbxContent>
                    </wps:txbx>
                    <wps:bodyPr wrap="none" lIns="0" tIns="0" rIns="0" bIns="0">
                      <a:spAutoFit/>
                    </wps:bodyPr>
                  </wps:wsp>
                </a:graphicData>
              </a:graphic>
            </wp:anchor>
          </w:drawing>
        </mc:Choice>
        <mc:Fallback>
          <w:pict>
            <v:shape id="_x0000_s1031"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2024-16254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20"/>
      <w:szCs w:val="2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8"/>
      <w:szCs w:val="3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220"/>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color w:val="4360A3"/>
      <w:sz w:val="20"/>
      <w:szCs w:val="20"/>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1"/>
    <w:basedOn w:val="Normal"/>
    <w:link w:val="CharStyle16"/>
    <w:pPr>
      <w:widowControl w:val="0"/>
      <w:shd w:val="clear" w:color="auto" w:fill="auto"/>
      <w:spacing w:after="260"/>
      <w:outlineLvl w:val="0"/>
    </w:pPr>
    <w:rPr>
      <w:rFonts w:ascii="Arial" w:eastAsia="Arial" w:hAnsi="Arial" w:cs="Arial"/>
      <w:b w:val="0"/>
      <w:bCs w:val="0"/>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