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2166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2166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5"/>
        <w:keepNext w:val="0"/>
        <w:keepLines w:val="0"/>
        <w:widowControl w:val="0"/>
        <w:shd w:val="clear" w:color="auto" w:fill="auto"/>
        <w:bidi w:val="0"/>
        <w:spacing w:before="0" w:after="160" w:line="240" w:lineRule="auto"/>
        <w:ind w:left="0" w:right="0" w:firstLine="600"/>
        <w:jc w:val="both"/>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380" w:line="240" w:lineRule="auto"/>
        <w:ind w:left="0" w:right="0" w:firstLine="0"/>
        <w:jc w:val="center"/>
      </w:pPr>
      <w:r>
        <w:rPr>
          <w:b/>
          <w:bCs/>
          <w:color w:val="4B6293"/>
          <w:spacing w:val="0"/>
          <w:w w:val="100"/>
          <w:position w:val="0"/>
          <w:shd w:val="clear" w:color="auto" w:fill="auto"/>
          <w:lang w:val="ru-RU" w:eastAsia="ru-RU" w:bidi="ru-RU"/>
        </w:rPr>
        <w:t>УПРАВЛЕНИЕ</w:t>
        <w:br/>
        <w:t>Федеральной антимонопольной службы</w:t>
        <w:br/>
        <w:t>по Смоленской области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Октябрьской Революции, 14а, г. Смоленск, 214000</w:t>
        <w:br/>
        <w:t>тел.(4812) 38-62-22, факс (4812) 38-62-22</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1о67@Гаа. цот.ги</w:t>
      </w:r>
      <w:r>
        <w:fldChar w:fldCharType="end"/>
      </w:r>
    </w:p>
    <w:p>
      <w:pPr>
        <w:pStyle w:val="Style11"/>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01,10.2024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ВШ/4101/2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640" w:line="240" w:lineRule="auto"/>
        <w:ind w:left="0" w:right="0" w:firstLine="0"/>
        <w:jc w:val="left"/>
        <w:rPr>
          <w:sz w:val="18"/>
          <w:szCs w:val="18"/>
        </w:rPr>
      </w:pPr>
      <w:r>
        <w:rPr>
          <w:color w:val="4B6293"/>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7"/>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Государственный заказчик:</w:t>
      </w:r>
      <w:bookmarkEnd w:id="2"/>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 xml:space="preserve">ОГБУЗ «СОКБ» </w:t>
      </w:r>
      <w:r>
        <w:rPr>
          <w:color w:val="000000"/>
          <w:spacing w:val="0"/>
          <w:w w:val="100"/>
          <w:position w:val="0"/>
          <w:shd w:val="clear" w:color="auto" w:fill="auto"/>
          <w:lang w:val="ru-RU" w:eastAsia="ru-RU" w:bidi="ru-RU"/>
        </w:rPr>
        <w:t xml:space="preserve">пр-кт Гагарина, д. 27, г. Смоленск, 214018 о§нх.8окЬ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таП.гн</w:t>
      </w:r>
    </w:p>
    <w:p>
      <w:pPr>
        <w:pStyle w:val="Style17"/>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Уполномоченный орган:</w:t>
      </w:r>
      <w:bookmarkEnd w:id="4"/>
    </w:p>
    <w:p>
      <w:pPr>
        <w:pStyle w:val="Style1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24"/>
          <w:szCs w:val="24"/>
          <w:shd w:val="clear" w:color="auto" w:fill="auto"/>
          <w:lang w:val="ru-RU" w:eastAsia="ru-RU" w:bidi="ru-RU"/>
        </w:rPr>
        <w:t xml:space="preserve">Главное управление Смоленской области по регулированию контрактной системы </w:t>
      </w:r>
      <w:r>
        <w:rPr>
          <w:color w:val="000000"/>
          <w:spacing w:val="0"/>
          <w:w w:val="100"/>
          <w:position w:val="0"/>
          <w:sz w:val="19"/>
          <w:szCs w:val="19"/>
          <w:shd w:val="clear" w:color="auto" w:fill="auto"/>
          <w:lang w:val="ru-RU" w:eastAsia="ru-RU" w:bidi="ru-RU"/>
        </w:rPr>
        <w:t>пл. Ленина, 1, каб. 243, г. Смоленск, 214008</w:t>
      </w:r>
    </w:p>
    <w:p>
      <w:pPr>
        <w:pStyle w:val="Style8"/>
        <w:keepNext w:val="0"/>
        <w:keepLines w:val="0"/>
        <w:widowControl w:val="0"/>
        <w:shd w:val="clear" w:color="auto" w:fill="auto"/>
        <w:bidi w:val="0"/>
        <w:spacing w:before="0" w:line="257" w:lineRule="auto"/>
        <w:ind w:left="0" w:right="0" w:firstLine="0"/>
        <w:jc w:val="left"/>
      </w:pPr>
      <w:r>
        <w:fldChar w:fldCharType="begin"/>
      </w:r>
      <w:r>
        <w:rPr/>
        <w:instrText> HYPERLINK "mailto:goszakaz@admin-smolensk.ru" </w:instrText>
      </w:r>
      <w:r>
        <w:fldChar w:fldCharType="separate"/>
      </w:r>
      <w:r>
        <w:rPr>
          <w:color w:val="000000"/>
          <w:spacing w:val="0"/>
          <w:w w:val="100"/>
          <w:position w:val="0"/>
          <w:shd w:val="clear" w:color="auto" w:fill="auto"/>
          <w:lang w:val="ru-RU" w:eastAsia="ru-RU" w:bidi="ru-RU"/>
        </w:rPr>
        <w:t>8О8/ака/?/ас1т1п-8то1сп8к.ги</w:t>
      </w:r>
      <w:r>
        <w:fldChar w:fldCharType="end"/>
      </w:r>
    </w:p>
    <w:p>
      <w:pPr>
        <w:pStyle w:val="Style17"/>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Заявитель:</w:t>
      </w:r>
      <w:bookmarkEnd w:id="6"/>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ИП Лучко С.В.</w:t>
      </w:r>
    </w:p>
    <w:p>
      <w:pPr>
        <w:pStyle w:val="Style8"/>
        <w:keepNext w:val="0"/>
        <w:keepLines w:val="0"/>
        <w:widowControl w:val="0"/>
        <w:shd w:val="clear" w:color="auto" w:fill="auto"/>
        <w:bidi w:val="0"/>
        <w:spacing w:before="0" w:line="254" w:lineRule="auto"/>
        <w:ind w:left="0" w:right="0" w:firstLine="0"/>
        <w:jc w:val="left"/>
      </w:pPr>
      <w:r>
        <w:rPr>
          <w:color w:val="000000"/>
          <w:spacing w:val="0"/>
          <w:w w:val="100"/>
          <w:position w:val="0"/>
          <w:shd w:val="clear" w:color="auto" w:fill="auto"/>
          <w:lang w:val="ru-RU" w:eastAsia="ru-RU" w:bidi="ru-RU"/>
        </w:rPr>
        <w:t xml:space="preserve">пр. Кузнецова, д. 22к1, кв. 176, г. Санкт-Петербург, 198328 1р1нс11ко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§таП.сот</w:t>
      </w:r>
    </w:p>
    <w:p>
      <w:pPr>
        <w:pStyle w:val="Style17"/>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z w:val="24"/>
          <w:szCs w:val="24"/>
          <w:shd w:val="clear" w:color="auto" w:fill="auto"/>
          <w:lang w:val="ru-RU" w:eastAsia="ru-RU" w:bidi="ru-RU"/>
        </w:rPr>
        <w:t>Электронная площадка:</w:t>
      </w:r>
      <w:bookmarkEnd w:id="8"/>
    </w:p>
    <w:p>
      <w:pPr>
        <w:pStyle w:val="Style15"/>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9" w:right="729" w:bottom="1217" w:left="1140" w:header="0" w:footer="3" w:gutter="0"/>
          <w:pgNumType w:start="1"/>
          <w:cols w:num="2" w:space="720" w:equalWidth="0">
            <w:col w:w="4296" w:space="970"/>
            <w:col w:w="4766"/>
          </w:cols>
          <w:noEndnote/>
          <w:titlePg/>
          <w:rtlGutter w:val="0"/>
          <w:docGrid w:linePitch="360"/>
        </w:sectPr>
      </w:pPr>
      <w:r>
        <w:rPr>
          <w:color w:val="000000"/>
          <w:spacing w:val="0"/>
          <w:w w:val="100"/>
          <w:position w:val="0"/>
          <w:sz w:val="24"/>
          <w:szCs w:val="24"/>
          <w:shd w:val="clear" w:color="auto" w:fill="auto"/>
          <w:lang w:val="ru-RU" w:eastAsia="ru-RU" w:bidi="ru-RU"/>
        </w:rPr>
        <w:t xml:space="preserve">АО «ЕЭТП» </w:t>
      </w:r>
      <w:r>
        <w:fldChar w:fldCharType="begin"/>
      </w:r>
      <w:r>
        <w:rPr/>
        <w:instrText> HYPERLINK "mailto:ko@roseltorg.rn" </w:instrText>
      </w:r>
      <w:r>
        <w:fldChar w:fldCharType="separate"/>
      </w:r>
      <w:r>
        <w:rPr>
          <w:color w:val="000000"/>
          <w:spacing w:val="0"/>
          <w:w w:val="100"/>
          <w:position w:val="0"/>
          <w:sz w:val="24"/>
          <w:szCs w:val="24"/>
          <w:shd w:val="clear" w:color="auto" w:fill="auto"/>
          <w:lang w:val="ru-RU" w:eastAsia="ru-RU" w:bidi="ru-RU"/>
        </w:rPr>
        <w:t>ко@го8е11огд.ш</w:t>
      </w:r>
      <w:r>
        <w:fldChar w:fldCharType="end"/>
      </w:r>
    </w:p>
    <w:p>
      <w:pPr>
        <w:widowControl w:val="0"/>
        <w:spacing w:before="55" w:after="5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7" w:right="0" w:bottom="1059"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4500245</wp:posOffset>
                </wp:positionH>
                <wp:positionV relativeFrom="paragraph">
                  <wp:posOffset>1532890</wp:posOffset>
                </wp:positionV>
                <wp:extent cx="2724785" cy="2289175"/>
                <wp:wrapSquare wrapText="bothSides"/>
                <wp:docPr id="8" name="Shape 8"/>
                <a:graphic xmlns:a="http://schemas.openxmlformats.org/drawingml/2006/main">
                  <a:graphicData uri="http://schemas.microsoft.com/office/word/2010/wordprocessingShape">
                    <wps:wsp>
                      <wps:cNvSpPr txBox="1"/>
                      <wps:spPr>
                        <a:xfrm>
                          <a:ext cx="2724785" cy="2289175"/>
                        </a:xfrm>
                        <a:prstGeom prst="rect"/>
                        <a:noFill/>
                      </wps:spPr>
                      <wps:txbx>
                        <w:txbxContent>
                          <w:p>
                            <w:pPr>
                              <w:pStyle w:val="Style15"/>
                              <w:keepNext w:val="0"/>
                              <w:keepLines w:val="0"/>
                              <w:widowControl w:val="0"/>
                              <w:numPr>
                                <w:ilvl w:val="0"/>
                                <w:numId w:val="1"/>
                              </w:numPr>
                              <w:shd w:val="clear" w:color="auto" w:fill="auto"/>
                              <w:tabs>
                                <w:tab w:pos="221" w:val="left"/>
                              </w:tabs>
                              <w:bidi w:val="0"/>
                              <w:spacing w:before="0" w:after="0" w:line="259" w:lineRule="auto"/>
                              <w:ind w:left="0" w:right="0" w:firstLine="0"/>
                              <w:jc w:val="both"/>
                            </w:pPr>
                            <w:r>
                              <w:rPr>
                                <w:color w:val="000000"/>
                                <w:spacing w:val="0"/>
                                <w:w w:val="100"/>
                                <w:position w:val="0"/>
                                <w:sz w:val="24"/>
                                <w:szCs w:val="24"/>
                                <w:shd w:val="clear" w:color="auto" w:fill="auto"/>
                                <w:lang w:val="ru-RU" w:eastAsia="ru-RU" w:bidi="ru-RU"/>
                              </w:rPr>
                              <w:t>начальник отдела контроля закупок и антимонопольного контроля органов власти Смоленского УФАС России;</w:t>
                            </w:r>
                          </w:p>
                          <w:p>
                            <w:pPr>
                              <w:pStyle w:val="Style15"/>
                              <w:keepNext w:val="0"/>
                              <w:keepLines w:val="0"/>
                              <w:widowControl w:val="0"/>
                              <w:numPr>
                                <w:ilvl w:val="0"/>
                                <w:numId w:val="1"/>
                              </w:numPr>
                              <w:shd w:val="clear" w:color="auto" w:fill="auto"/>
                              <w:tabs>
                                <w:tab w:pos="221" w:val="left"/>
                              </w:tabs>
                              <w:bidi w:val="0"/>
                              <w:spacing w:before="0" w:after="0" w:line="259" w:lineRule="auto"/>
                              <w:ind w:left="0" w:right="0" w:firstLine="0"/>
                              <w:jc w:val="both"/>
                            </w:pPr>
                            <w:r>
                              <w:rPr>
                                <w:color w:val="000000"/>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p>
                            <w:pPr>
                              <w:pStyle w:val="Style15"/>
                              <w:keepNext w:val="0"/>
                              <w:keepLines w:val="0"/>
                              <w:widowControl w:val="0"/>
                              <w:numPr>
                                <w:ilvl w:val="0"/>
                                <w:numId w:val="1"/>
                              </w:numPr>
                              <w:shd w:val="clear" w:color="auto" w:fill="auto"/>
                              <w:tabs>
                                <w:tab w:pos="221" w:val="left"/>
                              </w:tabs>
                              <w:bidi w:val="0"/>
                              <w:spacing w:before="0" w:after="0" w:line="259" w:lineRule="auto"/>
                              <w:ind w:left="0" w:right="0" w:firstLine="0"/>
                              <w:jc w:val="both"/>
                            </w:pPr>
                            <w:r>
                              <w:rPr>
                                <w:color w:val="000000"/>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txbxContent>
                      </wps:txbx>
                      <wps:bodyPr lIns="0" tIns="0" rIns="0" bIns="0">
                        <a:noAutoFit/>
                      </wps:bodyPr>
                    </wps:wsp>
                  </a:graphicData>
                </a:graphic>
              </wp:anchor>
            </w:drawing>
          </mc:Choice>
          <mc:Fallback>
            <w:pict>
              <v:shape id="_x0000_s1034" type="#_x0000_t202" style="position:absolute;margin-left:354.35000000000002pt;margin-top:120.7pt;width:214.55000000000001pt;height:180.25pt;z-index:-125829375;mso-wrap-distance-left:9.pt;mso-wrap-distance-right:9.pt;mso-position-horizontal-relative:page" filled="f" stroked="f">
                <v:textbox inset="0,0,0,0">
                  <w:txbxContent>
                    <w:p>
                      <w:pPr>
                        <w:pStyle w:val="Style15"/>
                        <w:keepNext w:val="0"/>
                        <w:keepLines w:val="0"/>
                        <w:widowControl w:val="0"/>
                        <w:numPr>
                          <w:ilvl w:val="0"/>
                          <w:numId w:val="1"/>
                        </w:numPr>
                        <w:shd w:val="clear" w:color="auto" w:fill="auto"/>
                        <w:tabs>
                          <w:tab w:pos="221" w:val="left"/>
                        </w:tabs>
                        <w:bidi w:val="0"/>
                        <w:spacing w:before="0" w:after="0" w:line="259" w:lineRule="auto"/>
                        <w:ind w:left="0" w:right="0" w:firstLine="0"/>
                        <w:jc w:val="both"/>
                      </w:pPr>
                      <w:r>
                        <w:rPr>
                          <w:color w:val="000000"/>
                          <w:spacing w:val="0"/>
                          <w:w w:val="100"/>
                          <w:position w:val="0"/>
                          <w:sz w:val="24"/>
                          <w:szCs w:val="24"/>
                          <w:shd w:val="clear" w:color="auto" w:fill="auto"/>
                          <w:lang w:val="ru-RU" w:eastAsia="ru-RU" w:bidi="ru-RU"/>
                        </w:rPr>
                        <w:t>начальник отдела контроля закупок и антимонопольного контроля органов власти Смоленского УФАС России;</w:t>
                      </w:r>
                    </w:p>
                    <w:p>
                      <w:pPr>
                        <w:pStyle w:val="Style15"/>
                        <w:keepNext w:val="0"/>
                        <w:keepLines w:val="0"/>
                        <w:widowControl w:val="0"/>
                        <w:numPr>
                          <w:ilvl w:val="0"/>
                          <w:numId w:val="1"/>
                        </w:numPr>
                        <w:shd w:val="clear" w:color="auto" w:fill="auto"/>
                        <w:tabs>
                          <w:tab w:pos="221" w:val="left"/>
                        </w:tabs>
                        <w:bidi w:val="0"/>
                        <w:spacing w:before="0" w:after="0" w:line="259" w:lineRule="auto"/>
                        <w:ind w:left="0" w:right="0" w:firstLine="0"/>
                        <w:jc w:val="both"/>
                      </w:pPr>
                      <w:r>
                        <w:rPr>
                          <w:color w:val="000000"/>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p>
                      <w:pPr>
                        <w:pStyle w:val="Style15"/>
                        <w:keepNext w:val="0"/>
                        <w:keepLines w:val="0"/>
                        <w:widowControl w:val="0"/>
                        <w:numPr>
                          <w:ilvl w:val="0"/>
                          <w:numId w:val="1"/>
                        </w:numPr>
                        <w:shd w:val="clear" w:color="auto" w:fill="auto"/>
                        <w:tabs>
                          <w:tab w:pos="221" w:val="left"/>
                        </w:tabs>
                        <w:bidi w:val="0"/>
                        <w:spacing w:before="0" w:after="0" w:line="259" w:lineRule="auto"/>
                        <w:ind w:left="0" w:right="0" w:firstLine="0"/>
                        <w:jc w:val="both"/>
                      </w:pPr>
                      <w:r>
                        <w:rPr>
                          <w:color w:val="000000"/>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txbxContent>
                </v:textbox>
                <w10:wrap type="square" anchorx="page"/>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790575</wp:posOffset>
                </wp:positionH>
                <wp:positionV relativeFrom="paragraph">
                  <wp:posOffset>2292350</wp:posOffset>
                </wp:positionV>
                <wp:extent cx="1271270" cy="189230"/>
                <wp:wrapTopAndBottom/>
                <wp:docPr id="10" name="Shape 10"/>
                <a:graphic xmlns:a="http://schemas.openxmlformats.org/drawingml/2006/main">
                  <a:graphicData uri="http://schemas.microsoft.com/office/word/2010/wordprocessingShape">
                    <wps:wsp>
                      <wps:cNvSpPr txBox="1"/>
                      <wps:spPr>
                        <a:xfrm>
                          <a:ext cx="1271270" cy="1892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6" type="#_x0000_t202" style="position:absolute;margin-left:62.25pt;margin-top:180.5pt;width:100.10000000000001pt;height:14.9pt;z-index:-125829373;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p>
    <w:p>
      <w:pPr>
        <w:pStyle w:val="Style15"/>
        <w:keepNext w:val="0"/>
        <w:keepLines w:val="0"/>
        <w:widowControl w:val="0"/>
        <w:shd w:val="clear" w:color="auto" w:fill="auto"/>
        <w:bidi w:val="0"/>
        <w:spacing w:before="0" w:after="100" w:line="259" w:lineRule="auto"/>
        <w:ind w:left="0" w:right="0" w:firstLine="0"/>
        <w:jc w:val="center"/>
      </w:pPr>
      <w:r>
        <w:rPr>
          <w:color w:val="000000"/>
          <w:spacing w:val="0"/>
          <w:w w:val="100"/>
          <w:position w:val="0"/>
          <w:sz w:val="24"/>
          <w:szCs w:val="24"/>
          <w:shd w:val="clear" w:color="auto" w:fill="auto"/>
          <w:lang w:val="ru-RU" w:eastAsia="ru-RU" w:bidi="ru-RU"/>
        </w:rPr>
        <w:t>РЕШЕНИЕ</w:t>
        <w:br/>
        <w:t>по делу № 067/06/33-620/2024 о нарушении</w:t>
        <w:br/>
        <w:t>законодательства Российской Федерации о контрактной системе</w:t>
      </w:r>
    </w:p>
    <w:p>
      <w:pPr>
        <w:pStyle w:val="Style15"/>
        <w:keepNext w:val="0"/>
        <w:keepLines w:val="0"/>
        <w:widowControl w:val="0"/>
        <w:shd w:val="clear" w:color="auto" w:fill="auto"/>
        <w:bidi w:val="0"/>
        <w:spacing w:before="0" w:after="100" w:line="259" w:lineRule="auto"/>
        <w:ind w:left="0" w:right="0" w:firstLine="0"/>
        <w:jc w:val="both"/>
      </w:pPr>
      <w:r>
        <mc:AlternateContent>
          <mc:Choice Requires="wps">
            <w:drawing>
              <wp:anchor distT="0" distB="0" distL="12700" distR="12700" simplePos="0" relativeHeight="125829382" behindDoc="0" locked="0" layoutInCell="1" allowOverlap="1">
                <wp:simplePos x="0" y="0"/>
                <wp:positionH relativeFrom="page">
                  <wp:posOffset>6258560</wp:posOffset>
                </wp:positionH>
                <wp:positionV relativeFrom="paragraph">
                  <wp:posOffset>12700</wp:posOffset>
                </wp:positionV>
                <wp:extent cx="859790" cy="189230"/>
                <wp:wrapSquare wrapText="left"/>
                <wp:docPr id="12" name="Shape 12"/>
                <a:graphic xmlns:a="http://schemas.openxmlformats.org/drawingml/2006/main">
                  <a:graphicData uri="http://schemas.microsoft.com/office/word/2010/wordprocessingShape">
                    <wps:wsp>
                      <wps:cNvSpPr txBox="1"/>
                      <wps:spPr>
                        <a:xfrm>
                          <a:ext cx="859790" cy="1892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г. Смоленск</w:t>
                            </w:r>
                          </w:p>
                        </w:txbxContent>
                      </wps:txbx>
                      <wps:bodyPr wrap="none" lIns="0" tIns="0" rIns="0" bIns="0">
                        <a:noAutoFit/>
                      </wps:bodyPr>
                    </wps:wsp>
                  </a:graphicData>
                </a:graphic>
              </wp:anchor>
            </w:drawing>
          </mc:Choice>
          <mc:Fallback>
            <w:pict>
              <v:shape id="_x0000_s1038" type="#_x0000_t202" style="position:absolute;margin-left:492.80000000000001pt;margin-top:1.pt;width:67.700000000000003pt;height:14.9pt;z-index:-125829371;mso-wrap-distance-left:1.pt;mso-wrap-distance-right: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г. Смоленск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26 сентября 2024 года</w:t>
      </w:r>
    </w:p>
    <w:p>
      <w:pPr>
        <w:pStyle w:val="Style15"/>
        <w:keepNext w:val="0"/>
        <w:keepLines w:val="0"/>
        <w:widowControl w:val="0"/>
        <w:shd w:val="clear" w:color="auto" w:fill="auto"/>
        <w:bidi w:val="0"/>
        <w:spacing w:before="0" w:after="100" w:line="259" w:lineRule="auto"/>
        <w:ind w:left="0" w:right="0" w:firstLine="720"/>
        <w:jc w:val="both"/>
      </w:pPr>
      <w:r>
        <w:rPr>
          <w:color w:val="000000"/>
          <w:spacing w:val="0"/>
          <w:w w:val="100"/>
          <w:position w:val="0"/>
          <w:sz w:val="24"/>
          <w:szCs w:val="24"/>
          <w:shd w:val="clear" w:color="auto" w:fill="auto"/>
          <w:lang w:val="ru-RU" w:eastAsia="ru-RU" w:bidi="ru-RU"/>
        </w:rPr>
        <w:t>Комиссия Смоленского УФАС России по контролю в сфере закупок (далее - Комиссия) в следующем составе:</w:t>
      </w:r>
    </w:p>
    <w:p>
      <w:pPr>
        <w:pStyle w:val="Style15"/>
        <w:keepNext w:val="0"/>
        <w:keepLines w:val="0"/>
        <w:widowControl w:val="0"/>
        <w:shd w:val="clear" w:color="auto" w:fill="auto"/>
        <w:bidi w:val="0"/>
        <w:spacing w:before="0" w:after="0" w:line="259" w:lineRule="auto"/>
        <w:ind w:left="0" w:right="0" w:firstLine="140"/>
        <w:jc w:val="both"/>
      </w:pPr>
      <w:r>
        <w:rPr>
          <w:color w:val="000000"/>
          <w:spacing w:val="0"/>
          <w:w w:val="100"/>
          <w:position w:val="0"/>
          <w:sz w:val="24"/>
          <w:szCs w:val="24"/>
          <w:shd w:val="clear" w:color="auto" w:fill="auto"/>
          <w:lang w:val="ru-RU" w:eastAsia="ru-RU" w:bidi="ru-RU"/>
        </w:rPr>
        <w:t>Заместитель</w:t>
      </w:r>
    </w:p>
    <w:p>
      <w:pPr>
        <w:pStyle w:val="Style15"/>
        <w:keepNext w:val="0"/>
        <w:keepLines w:val="0"/>
        <w:widowControl w:val="0"/>
        <w:shd w:val="clear" w:color="auto" w:fill="auto"/>
        <w:bidi w:val="0"/>
        <w:spacing w:before="0" w:after="880" w:line="259" w:lineRule="auto"/>
        <w:ind w:left="0" w:right="0" w:firstLine="140"/>
        <w:jc w:val="both"/>
      </w:pPr>
      <w:r>
        <w:rPr>
          <w:color w:val="000000"/>
          <w:spacing w:val="0"/>
          <w:w w:val="100"/>
          <w:position w:val="0"/>
          <w:sz w:val="24"/>
          <w:szCs w:val="24"/>
          <w:shd w:val="clear" w:color="auto" w:fill="auto"/>
          <w:lang w:val="ru-RU" w:eastAsia="ru-RU" w:bidi="ru-RU"/>
        </w:rPr>
        <w:t>председателя Комиссии:</w:t>
      </w:r>
    </w:p>
    <w:p>
      <w:pPr>
        <w:pStyle w:val="Style15"/>
        <w:keepNext w:val="0"/>
        <w:keepLines w:val="0"/>
        <w:widowControl w:val="0"/>
        <w:shd w:val="clear" w:color="auto" w:fill="auto"/>
        <w:bidi w:val="0"/>
        <w:spacing w:before="2260" w:after="0" w:line="240" w:lineRule="auto"/>
        <w:ind w:left="0" w:right="0" w:firstLine="720"/>
        <w:jc w:val="both"/>
      </w:pPr>
      <w:r>
        <w:rPr>
          <w:color w:val="000000"/>
          <w:spacing w:val="0"/>
          <w:w w:val="100"/>
          <w:position w:val="0"/>
          <w:sz w:val="24"/>
          <w:szCs w:val="24"/>
          <w:shd w:val="clear" w:color="auto" w:fill="auto"/>
          <w:lang w:val="ru-RU" w:eastAsia="ru-RU" w:bidi="ru-RU"/>
        </w:rPr>
        <w:t>при участии в дистанционном режиме рассмотрения жалобы представителей:</w:t>
      </w:r>
    </w:p>
    <w:p>
      <w:pPr>
        <w:pStyle w:val="Style15"/>
        <w:keepNext w:val="0"/>
        <w:keepLines w:val="0"/>
        <w:widowControl w:val="0"/>
        <w:numPr>
          <w:ilvl w:val="0"/>
          <w:numId w:val="3"/>
        </w:numPr>
        <w:shd w:val="clear" w:color="auto" w:fill="auto"/>
        <w:tabs>
          <w:tab w:pos="96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заказчика: Дерябиной Н.С. (доверенность исх. № б/н от 06.05.2024), Козлова А.В. (доверенность исх. № б/н от 25.09.2024);</w:t>
      </w:r>
    </w:p>
    <w:p>
      <w:pPr>
        <w:pStyle w:val="Style15"/>
        <w:keepNext w:val="0"/>
        <w:keepLines w:val="0"/>
        <w:widowControl w:val="0"/>
        <w:numPr>
          <w:ilvl w:val="0"/>
          <w:numId w:val="3"/>
        </w:numPr>
        <w:shd w:val="clear" w:color="auto" w:fill="auto"/>
        <w:tabs>
          <w:tab w:pos="1622"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уполномоченного органа: Скворцовой А.В. (доверенность исх. № 20 от 19.02.2024);</w:t>
      </w:r>
    </w:p>
    <w:p>
      <w:pPr>
        <w:pStyle w:val="Style22"/>
        <w:keepNext/>
        <w:keepLines/>
        <w:widowControl w:val="0"/>
        <w:shd w:val="clear" w:color="auto" w:fill="auto"/>
        <w:bidi w:val="0"/>
        <w:spacing w:before="0" w:line="240" w:lineRule="auto"/>
        <w:ind w:left="0" w:right="0" w:firstLine="0"/>
        <w:jc w:val="both"/>
      </w:pPr>
      <w:bookmarkStart w:id="10" w:name="bookmark10"/>
      <w:r>
        <w:rPr>
          <w:color w:val="000000"/>
          <w:spacing w:val="0"/>
          <w:w w:val="100"/>
          <w:position w:val="0"/>
          <w:shd w:val="clear" w:color="auto" w:fill="auto"/>
          <w:lang w:val="ru-RU" w:eastAsia="ru-RU" w:bidi="ru-RU"/>
        </w:rPr>
        <w:t>||||||||||||||||||||||||</w:t>
      </w:r>
      <w:bookmarkEnd w:id="10"/>
    </w:p>
    <w:p>
      <w:pPr>
        <w:pStyle w:val="Style15"/>
        <w:keepNext w:val="0"/>
        <w:keepLines w:val="0"/>
        <w:widowControl w:val="0"/>
        <w:numPr>
          <w:ilvl w:val="0"/>
          <w:numId w:val="3"/>
        </w:numPr>
        <w:shd w:val="clear" w:color="auto" w:fill="auto"/>
        <w:tabs>
          <w:tab w:pos="90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заявителя: Андрусенко С.П. (доверенность № б/н от 03.09.2024), Василевского С.А. (доверенность № б/н от 04.09.2024);</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приказом Смоленского УФАС России от 20.08.2024 № 117/24, в дистанционном режиме жалобу Индивидуального предпринимателя Лучко Светланы Васильевны (далее - Заявитель) и проведя внеплановую проверку,</w:t>
      </w:r>
    </w:p>
    <w:p>
      <w:pPr>
        <w:pStyle w:val="Style15"/>
        <w:keepNext w:val="0"/>
        <w:keepLines w:val="0"/>
        <w:widowControl w:val="0"/>
        <w:shd w:val="clear" w:color="auto" w:fill="auto"/>
        <w:bidi w:val="0"/>
        <w:spacing w:before="0" w:after="28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Смоленское УФАС России 19.09.2024 поступила жалоба ИИ Лучко С.В., согласно которой Заказчиком при проведении электронного аукциона: «Поставка медицинских изделий для эндоваскулярной хирургии для нужд ОГБУЗ «Смоленская областная клиническая больница» (извещение №0163200000343005562) были допущены нарушения Закона, а именно:</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по позициям 17, 18, 326-343 Технического задания под установленные Заказчиком технические характеристики закупаемого товара соответствует товар единственного производителя;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 в один лот включены медицинские изделия, которые не совместимы с основным изделием.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Государственным заказчиком по данному электронному аукциону является Областное государственное бюджетное учреждение здравоохранения «Смоленская областная клиническая больница» (далее - Заказчик), уполномоченным органом - Главное управление Смоленской области по регулированию контрактной системы.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представил письменные возражения по существу жалобы, с доводами жалобы не согласился.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момент рассмотрения жалобы контракт Заказчиком не заключен.</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В результате изучения представленных документов, рассмотрения доводов жалобы, пояснений сторон, Комиссия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12.09.2024 уполномоченным органом на официальном сайте единой информационной системы в сфере закупок</w:t>
      </w:r>
      <w:r>
        <w:fldChar w:fldCharType="begin"/>
      </w:r>
      <w:r>
        <w:rPr/>
        <w:instrText> HYPERLINK "http://www.zakupki.gov.ru" </w:instrText>
      </w:r>
      <w:r>
        <w:fldChar w:fldCharType="separate"/>
      </w:r>
      <w:r>
        <w:rPr>
          <w:color w:val="000000"/>
          <w:spacing w:val="0"/>
          <w:w w:val="100"/>
          <w:position w:val="0"/>
          <w:sz w:val="24"/>
          <w:szCs w:val="24"/>
          <w:shd w:val="clear" w:color="auto" w:fill="auto"/>
          <w:lang w:val="ru-RU" w:eastAsia="ru-RU" w:bidi="ru-RU"/>
        </w:rPr>
        <w:t xml:space="preserve"> шшшхакнрктдоу.ш</w:t>
      </w:r>
      <w:r>
        <w:fldChar w:fldCharType="end"/>
      </w:r>
      <w:r>
        <w:rPr>
          <w:color w:val="000000"/>
          <w:spacing w:val="0"/>
          <w:w w:val="100"/>
          <w:position w:val="0"/>
          <w:sz w:val="24"/>
          <w:szCs w:val="24"/>
          <w:shd w:val="clear" w:color="auto" w:fill="auto"/>
          <w:lang w:val="ru-RU" w:eastAsia="ru-RU" w:bidi="ru-RU"/>
        </w:rPr>
        <w:t xml:space="preserve"> размещено Извещение №0163200000343005562 о проведении электронного аукциона.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(далее - НМЦК) - 9 800 000,00 рублей.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24.09.2024 №ИЭА1 на участие в электронном аукционе была подана 1 (одна) заявка участника закупки, которая была признана соответствующей требованиям Извещения, участник закупки получил право заключить контракт.</w:t>
      </w:r>
    </w:p>
    <w:p>
      <w:pPr>
        <w:pStyle w:val="Style15"/>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637" w:right="531" w:bottom="1059" w:left="1098"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пунктом 3 части 1 статьи 3 Закона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Законом порядке заказчиком и направленных на обеспечение государственных или муниципальных нужд.</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5 статьи 23 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6 статьи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Правила использования каталога товаров, работ, услуг для обеспечения государственных и муниципальных нужд (далее - Правила использования), утверждены постановлением Правительства РФ от 08.02.2017 № 145.</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2 Правил формирования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Правилами.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12 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19 Правил формирования в позиции каталога в соответствии со статьей 33 Закона может включаться дополнительная информация о конкретных товарах, работах, услугах, в том числе информация о характеристиках таких товаров, их производителях, торговых наименованиях, наименованиях мест происхождения товаров, ценах за единицу количества товара, объема работы, услуги и (или) ценах за единицу измерения количества товара, объема работы, услуги, условиях поставки товаров, выполнения работ, оказания услуг. Указанная информация формируется в том числе производителями и (или) поставщиками (подрядчиками, исполнителями). Основания и порядок формирования и включения такой информации в каталог определяются уполномоченным органом по согласованию с Федеральной антимонопольной службой.</w:t>
      </w:r>
    </w:p>
    <w:p>
      <w:pPr>
        <w:pStyle w:val="Style15"/>
        <w:keepNext w:val="0"/>
        <w:keepLines w:val="0"/>
        <w:widowControl w:val="0"/>
        <w:shd w:val="clear" w:color="auto" w:fill="auto"/>
        <w:bidi w:val="0"/>
        <w:spacing w:before="0" w:after="0" w:line="283"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4 Правил использования заказчики обязаны применять информацию, включенную в позицию каталога в соответствии с подпунктами «б» - «г» и «е» - «з» пункта 10 Правил формирования,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2024-4402</w:t>
      </w:r>
    </w:p>
    <w:p>
      <w:pPr>
        <w:pStyle w:val="Style15"/>
        <w:keepNext w:val="0"/>
        <w:keepLines w:val="0"/>
        <w:widowControl w:val="0"/>
        <w:shd w:val="clear" w:color="auto" w:fill="auto"/>
        <w:bidi w:val="0"/>
        <w:spacing w:before="0" w:after="0" w:line="254" w:lineRule="auto"/>
        <w:ind w:left="0" w:right="0" w:firstLine="0"/>
        <w:jc w:val="both"/>
      </w:pPr>
      <w:r>
        <w:rPr>
          <w:color w:val="000000"/>
          <w:spacing w:val="0"/>
          <w:w w:val="100"/>
          <w:position w:val="0"/>
          <w:sz w:val="24"/>
          <w:szCs w:val="24"/>
          <w:shd w:val="clear" w:color="auto" w:fill="auto"/>
          <w:lang w:val="ru-RU" w:eastAsia="ru-RU" w:bidi="ru-RU"/>
        </w:rPr>
        <w:t>такой позиции следующую информацию:</w:t>
      </w:r>
    </w:p>
    <w:p>
      <w:pPr>
        <w:pStyle w:val="Style15"/>
        <w:keepNext w:val="0"/>
        <w:keepLines w:val="0"/>
        <w:widowControl w:val="0"/>
        <w:numPr>
          <w:ilvl w:val="0"/>
          <w:numId w:val="5"/>
        </w:numPr>
        <w:shd w:val="clear" w:color="auto" w:fill="auto"/>
        <w:tabs>
          <w:tab w:pos="1033" w:val="left"/>
        </w:tabs>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5"/>
        <w:keepNext w:val="0"/>
        <w:keepLines w:val="0"/>
        <w:widowControl w:val="0"/>
        <w:numPr>
          <w:ilvl w:val="0"/>
          <w:numId w:val="5"/>
        </w:numPr>
        <w:shd w:val="clear" w:color="auto" w:fill="auto"/>
        <w:tabs>
          <w:tab w:pos="1052" w:val="left"/>
        </w:tabs>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5"/>
        </w:numPr>
        <w:shd w:val="clear" w:color="auto" w:fill="auto"/>
        <w:tabs>
          <w:tab w:pos="1042" w:val="left"/>
        </w:tabs>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Согласно пункту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При проведении предусмотренных Законом электронных процедур, закрытых электронных процедур характеристики объекта закупки, предусмотренные пунктом 1 части 1 статьи 33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соответственно.</w:t>
      </w:r>
    </w:p>
    <w:p>
      <w:pPr>
        <w:pStyle w:val="Style15"/>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15"/>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2 статьи 42 Закона извещение об осуществлении закупки, если иное не предусмотрено Законом, должно содержать описание объекта закупки в соответствии со статьей 33 Закона.</w:t>
      </w:r>
    </w:p>
    <w:p>
      <w:pPr>
        <w:pStyle w:val="Style15"/>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Согласно пунктам 1, 2 части 1 статьи 33 Закона заказчик в случаях, предусмотренных Законом, при описании объекта закупки должен руководствоваться следующими правилами:</w:t>
      </w:r>
    </w:p>
    <w:p>
      <w:pPr>
        <w:pStyle w:val="Style15"/>
        <w:keepNext w:val="0"/>
        <w:keepLines w:val="0"/>
        <w:widowControl w:val="0"/>
        <w:numPr>
          <w:ilvl w:val="0"/>
          <w:numId w:val="7"/>
        </w:numPr>
        <w:shd w:val="clear" w:color="auto" w:fill="auto"/>
        <w:tabs>
          <w:tab w:pos="1018" w:val="left"/>
        </w:tabs>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(пункт 1);</w:t>
      </w:r>
    </w:p>
    <w:p>
      <w:pPr>
        <w:pStyle w:val="Style15"/>
        <w:keepNext w:val="0"/>
        <w:keepLines w:val="0"/>
        <w:widowControl w:val="0"/>
        <w:numPr>
          <w:ilvl w:val="0"/>
          <w:numId w:val="7"/>
        </w:numPr>
        <w:shd w:val="clear" w:color="auto" w:fill="auto"/>
        <w:tabs>
          <w:tab w:pos="1018" w:val="left"/>
        </w:tabs>
        <w:bidi w:val="0"/>
        <w:spacing w:before="0" w:after="0" w:line="254" w:lineRule="auto"/>
        <w:ind w:left="0" w:right="0" w:firstLine="720"/>
        <w:jc w:val="both"/>
        <w:sectPr>
          <w:headerReference w:type="default" r:id="rId11"/>
          <w:footerReference w:type="default" r:id="rId12"/>
          <w:footnotePr>
            <w:pos w:val="pageBottom"/>
            <w:numFmt w:val="decimal"/>
            <w:numRestart w:val="continuous"/>
          </w:footnotePr>
          <w:pgSz w:w="11900" w:h="16840"/>
          <w:pgMar w:top="1700" w:right="532" w:bottom="788" w:left="1100" w:header="0" w:footer="360" w:gutter="0"/>
          <w:cols w:space="720"/>
          <w:noEndnote/>
          <w:rtlGutter w:val="0"/>
          <w:docGrid w:linePitch="360"/>
        </w:sectPr>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2024-4402</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2 статьи 14 Закона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данной статьи, и условия применения национального режима в единой информационной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данной статьи.</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от 04.06.2018 № 126н (далее - Приказ № 126н).</w:t>
      </w:r>
    </w:p>
    <w:p>
      <w:pPr>
        <w:pStyle w:val="Style1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Объектом рассматриваемой закупки является поставка медицинских изделий для эндоваскулярной хирургии для нужд ОГБУЗ «Смоленская областная клиническая больница».</w:t>
      </w:r>
    </w:p>
    <w:p>
      <w:pPr>
        <w:pStyle w:val="Style1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Заказчиком были установлены условия и ограничения допуска продукции в соответствии с требованиями Приказа № 126н.</w:t>
      </w:r>
    </w:p>
    <w:p>
      <w:pPr>
        <w:pStyle w:val="Style15"/>
        <w:keepNext w:val="0"/>
        <w:keepLines w:val="0"/>
        <w:widowControl w:val="0"/>
        <w:shd w:val="clear" w:color="auto" w:fill="auto"/>
        <w:bidi w:val="0"/>
        <w:spacing w:before="0" w:after="0" w:line="252" w:lineRule="auto"/>
        <w:ind w:left="0" w:right="0" w:firstLine="720"/>
        <w:jc w:val="both"/>
        <w:sectPr>
          <w:headerReference w:type="default" r:id="rId13"/>
          <w:footerReference w:type="default" r:id="rId14"/>
          <w:footnotePr>
            <w:pos w:val="pageBottom"/>
            <w:numFmt w:val="decimal"/>
            <w:numRestart w:val="continuous"/>
          </w:footnotePr>
          <w:pgSz w:w="11900" w:h="16840"/>
          <w:pgMar w:top="1700" w:right="536" w:bottom="1287" w:left="1101"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Описание объекта закупки содержится в приложении к Извещению (далее - Техническое задание).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Технического задания следует, что Заказчиком закупается, в том числе «Стент для коронарных артерий, выделяющий лекарственное средство».</w:t>
      </w:r>
    </w:p>
    <w:p>
      <w:pPr>
        <w:pStyle w:val="Style15"/>
        <w:keepNext w:val="0"/>
        <w:keepLines w:val="0"/>
        <w:widowControl w:val="0"/>
        <w:shd w:val="clear" w:color="auto" w:fill="auto"/>
        <w:tabs>
          <w:tab w:pos="2712" w:val="left"/>
          <w:tab w:pos="696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сведениям, размещенным в каталоге товаров, работ, услуг для обеспечения государственных и муниципальных нужд на сайте единой информационной системы коды КТРУ 32.50.13.190-02519, 32.50.13.190-02464, 32.50.13.190-002423, 32.50.13.190-02358, 32.50.13.190-02300,</w:t>
        <w:tab/>
        <w:t>32.50.13.190-02385, содержат</w:t>
        <w:tab/>
        <w:t>обязательные/рекомен дуемые</w:t>
      </w:r>
    </w:p>
    <w:p>
      <w:pPr>
        <w:pStyle w:val="Style15"/>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характеристики, которые заказчики должны/вправе использовать при формировании описания объекта закупки; запрета на установление дополнительных характеристик не содержится.</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Согласно пояснениям Заказчика, все установленные характеристики к приобретаемым медицинским изделиям соответствуют его потребностям и обусловлены спецификой работы Заказчика.</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В ходе анализа Извещения и документов, являющихся приложениями к Извещению, Комиссией Управления установлено, что в Техническом задании содержатся технические, качественные, функциональные характеристики закупаемого товара; указание на товарный знак в Извещении и Техническом задании отсутствует, требования, содержащиеся в Техническом задании, соответствуют правилам описания объекта закупки и действующему законодательству</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По позициям 326-343 Технического задания Заказчиком были получены коммерческие предложения от трех поставщиков, которыми были предложены к поставке стенты различных производителей: Огайо производства «Биотроник АГ» и 1Лйта§1ег Тапаех производства «Терумо Юроп Н.В.».</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Кроме того, из представленной Заказчиком информации следует, что установленным Заказчиком характеристикам соответствуют товары двух производителей «АЛВИМЕДИКА» (регистрационное удостоверение №ФСЗ 2010/07092 от 28.05.2010) и ООО НПО «Деост» (регистрационное удостоверение №РЗН 2021/14109 от 22.04.2021).</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Рассмотрение вопроса о том, что указанные хозяйствующие субъекты используют торговые наименования катетеров, которые не встречаются у других производителей, не входит в компетенцию Управления.</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Таким образом, в рассматриваемом случае отсутствуют какие-либо основания для вывода о том, что описание объекта закупки соответствует товару единственного производителя.</w:t>
      </w:r>
    </w:p>
    <w:p>
      <w:pPr>
        <w:pStyle w:val="Style15"/>
        <w:keepNext w:val="0"/>
        <w:keepLines w:val="0"/>
        <w:widowControl w:val="0"/>
        <w:shd w:val="clear" w:color="auto" w:fill="auto"/>
        <w:bidi w:val="0"/>
        <w:spacing w:before="0" w:after="280" w:line="262" w:lineRule="auto"/>
        <w:ind w:left="0" w:right="0" w:firstLine="720"/>
        <w:jc w:val="both"/>
      </w:pPr>
      <w:r>
        <w:rPr>
          <w:color w:val="000000"/>
          <w:spacing w:val="0"/>
          <w:w w:val="100"/>
          <w:position w:val="0"/>
          <w:sz w:val="24"/>
          <w:szCs w:val="24"/>
          <w:shd w:val="clear" w:color="auto" w:fill="auto"/>
          <w:lang w:val="ru-RU" w:eastAsia="ru-RU" w:bidi="ru-RU"/>
        </w:rPr>
        <w:t>В связи с изложенным, жалоба Заявителя в данной части признается необоснованной.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2 части 29 статьи 34 Закона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 постановления Правительства Российской Федерации от 19.04.2021 №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№620)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pPr>
        <w:pStyle w:val="Style15"/>
        <w:keepNext w:val="0"/>
        <w:keepLines w:val="0"/>
        <w:widowControl w:val="0"/>
        <w:numPr>
          <w:ilvl w:val="0"/>
          <w:numId w:val="9"/>
        </w:numPr>
        <w:shd w:val="clear" w:color="auto" w:fill="auto"/>
        <w:tabs>
          <w:tab w:pos="1428" w:val="left"/>
          <w:tab w:pos="143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600 тыс. рублей - для заказчиков, у которых объем денежных средств,</w:t>
      </w:r>
    </w:p>
    <w:p>
      <w:pPr>
        <w:pStyle w:val="Style15"/>
        <w:keepNext w:val="0"/>
        <w:keepLines w:val="0"/>
        <w:widowControl w:val="0"/>
        <w:shd w:val="clear" w:color="auto" w:fill="auto"/>
        <w:bidi w:val="0"/>
        <w:spacing w:before="0" w:after="0" w:line="439" w:lineRule="auto"/>
        <w:ind w:left="0" w:right="0" w:firstLine="0"/>
        <w:jc w:val="both"/>
      </w:pPr>
      <w:r>
        <w:rPr>
          <w:color w:val="000000"/>
          <w:spacing w:val="0"/>
          <w:w w:val="100"/>
          <w:position w:val="0"/>
          <w:sz w:val="24"/>
          <w:szCs w:val="24"/>
          <w:shd w:val="clear" w:color="auto" w:fill="auto"/>
          <w:lang w:val="ru-RU" w:eastAsia="ru-RU" w:bidi="ru-RU"/>
        </w:rPr>
        <w:t>направленных на закупку медицинских изделий в предшествующем году, составил менее 50 2024-4402</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млн. рублей;</w:t>
      </w:r>
    </w:p>
    <w:p>
      <w:pPr>
        <w:pStyle w:val="Style15"/>
        <w:keepNext w:val="0"/>
        <w:keepLines w:val="0"/>
        <w:widowControl w:val="0"/>
        <w:numPr>
          <w:ilvl w:val="0"/>
          <w:numId w:val="9"/>
        </w:numPr>
        <w:shd w:val="clear" w:color="auto" w:fill="auto"/>
        <w:tabs>
          <w:tab w:pos="1438" w:val="left"/>
          <w:tab w:pos="144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млн. рублей - для заказчиков, у которых объем денежных средств,</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направленных на закупку медицинских изделий в предшествующем году, составил от 50 млн. рублей до 100 млн. рублей;</w:t>
      </w:r>
    </w:p>
    <w:p>
      <w:pPr>
        <w:pStyle w:val="Style15"/>
        <w:keepNext w:val="0"/>
        <w:keepLines w:val="0"/>
        <w:widowControl w:val="0"/>
        <w:numPr>
          <w:ilvl w:val="0"/>
          <w:numId w:val="9"/>
        </w:numPr>
        <w:shd w:val="clear" w:color="auto" w:fill="auto"/>
        <w:tabs>
          <w:tab w:pos="1438" w:val="left"/>
          <w:tab w:pos="144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1,5 млн. рублей - для заказчиков, у которых объем денежных средств,</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направленных на закупку медицинских изделий в предшествующем году, составил более 100 млн. рублей.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2 Постановления №620 установлено, что указанное в пункте 1 данного постановления требование не применяется:</w:t>
      </w:r>
    </w:p>
    <w:p>
      <w:pPr>
        <w:pStyle w:val="Style15"/>
        <w:keepNext w:val="0"/>
        <w:keepLines w:val="0"/>
        <w:widowControl w:val="0"/>
        <w:numPr>
          <w:ilvl w:val="0"/>
          <w:numId w:val="9"/>
        </w:numPr>
        <w:shd w:val="clear" w:color="auto" w:fill="auto"/>
        <w:tabs>
          <w:tab w:pos="92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закупках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w:t>
      </w:r>
    </w:p>
    <w:p>
      <w:pPr>
        <w:pStyle w:val="Style15"/>
        <w:keepNext w:val="0"/>
        <w:keepLines w:val="0"/>
        <w:widowControl w:val="0"/>
        <w:numPr>
          <w:ilvl w:val="0"/>
          <w:numId w:val="9"/>
        </w:numPr>
        <w:shd w:val="clear" w:color="auto" w:fill="auto"/>
        <w:tabs>
          <w:tab w:pos="92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закупках медицинских изделий, объединенных в один лот (контракт) с расходными материалами, которые совместимы с такими медицинскими изделиями;</w:t>
      </w:r>
    </w:p>
    <w:p>
      <w:pPr>
        <w:pStyle w:val="Style15"/>
        <w:keepNext w:val="0"/>
        <w:keepLines w:val="0"/>
        <w:widowControl w:val="0"/>
        <w:numPr>
          <w:ilvl w:val="0"/>
          <w:numId w:val="9"/>
        </w:numPr>
        <w:shd w:val="clear" w:color="auto" w:fill="auto"/>
        <w:tabs>
          <w:tab w:pos="92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закупках медицинских изделий, по результатам которых заключается контракт со встречными инвестиционными обязательствами в соответствии со статьей 111.4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Как указал представитель Заказчика приказом Минздрава России от 15.11.2012 № 918н утвержден стандарт оснащения отделения рентгенохирургических методов диагностики и лечения, в соответствии с которым необходимо наличие полного набора одноразового инструментария для проведения диагностических и лечебных рентгенэндоваскулярных процедур в необходимом размерном ряде и набора хирургических инструментов для малоинвазивных вмешательств.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приложении к письму Минздрава № 25-3/И/2-2789 от 22.02.2023 главные внештатные специалисты-кардиологи Минздрава РФ подтверждают, что:</w:t>
      </w:r>
    </w:p>
    <w:p>
      <w:pPr>
        <w:pStyle w:val="Style15"/>
        <w:keepNext w:val="0"/>
        <w:keepLines w:val="0"/>
        <w:widowControl w:val="0"/>
        <w:numPr>
          <w:ilvl w:val="0"/>
          <w:numId w:val="9"/>
        </w:numPr>
        <w:shd w:val="clear" w:color="auto" w:fill="auto"/>
        <w:tabs>
          <w:tab w:pos="92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коронарный микрокатетер обеспечивает техническую возможность кроссинга зоны поражения при сложных вариантах анатомии (данное медицинское изделие входит в дополнительную группу инструментов);</w:t>
      </w:r>
    </w:p>
    <w:p>
      <w:pPr>
        <w:pStyle w:val="Style15"/>
        <w:keepNext w:val="0"/>
        <w:keepLines w:val="0"/>
        <w:widowControl w:val="0"/>
        <w:numPr>
          <w:ilvl w:val="0"/>
          <w:numId w:val="9"/>
        </w:numPr>
        <w:shd w:val="clear" w:color="auto" w:fill="auto"/>
        <w:tabs>
          <w:tab w:pos="92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аспирационный катетер применяют при тромботическом характере поражения, а также при остром интраоперационном тромбозе для аспирации тромботических масс, а также детрита, источником которого может являться атеросклеротическая бляшка (данное медицинское изделие входит в дополнительную группу инструментов).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Невозможность выполнения вмешательства, высокий риск осложнений и негативного исхода, в основном связанный не с характером заболевания, а с отсутствием требуемого инструментального оснащения, является недопустимым условием функционирования любого отделения рентгенохирургических методов диагностики и лечения, так как неминуемо приведет к снижению эффективности и безопасности эндоваскулярного лечения пациентов с ишемической болезнью сердца, росту числа ситуаций, когда эндоваскулярное лечение и имплантация стента технически невозможна, росту сердечно-сосудистой смертности и частоты повторных вмешательств и, как следствие, росту финансовых затрат и снижению экономической эффективности оказания помощи и функционирования лечебных учреждений в целом.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изложенного выше, Комиссия отмечает, что поскольку Заявителем не представлено доказательств опровергающих позицию Заказчика, оснований полагать, что Заказчиком был нарушен порядок применения Постановления №620 не имеется.</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Таким образом, довод Заявителя об обратном не нашел своего подтверждения.</w:t>
      </w:r>
    </w:p>
    <w:p>
      <w:pPr>
        <w:pStyle w:val="Style15"/>
        <w:keepNext w:val="0"/>
        <w:keepLines w:val="0"/>
        <w:widowControl w:val="0"/>
        <w:shd w:val="clear" w:color="auto" w:fill="auto"/>
        <w:bidi w:val="0"/>
        <w:spacing w:before="0" w:after="0" w:line="329" w:lineRule="auto"/>
        <w:ind w:left="0" w:right="0" w:firstLine="720"/>
        <w:jc w:val="both"/>
        <w:sectPr>
          <w:headerReference w:type="default" r:id="rId15"/>
          <w:footerReference w:type="default" r:id="rId16"/>
          <w:footnotePr>
            <w:pos w:val="pageBottom"/>
            <w:numFmt w:val="decimal"/>
            <w:numRestart w:val="continuous"/>
          </w:footnotePr>
          <w:pgSz w:w="11900" w:h="16840"/>
          <w:pgMar w:top="1700" w:right="521" w:bottom="610" w:left="1098" w:header="0" w:footer="182" w:gutter="0"/>
          <w:cols w:space="720"/>
          <w:noEndnote/>
          <w:rtlGutter w:val="0"/>
          <w:docGrid w:linePitch="360"/>
        </w:sectPr>
      </w:pPr>
      <w:r>
        <w:rPr>
          <w:color w:val="000000"/>
          <w:spacing w:val="0"/>
          <w:w w:val="100"/>
          <w:position w:val="0"/>
          <w:sz w:val="24"/>
          <w:szCs w:val="24"/>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2024-4402</w:t>
      </w:r>
    </w:p>
    <w:p>
      <w:pPr>
        <w:pStyle w:val="Style15"/>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обеспечения государственных и муниципальных нужд», Комиссия Смоленского УФАС России по контролю в сфере закупок</w:t>
      </w:r>
    </w:p>
    <w:p>
      <w:pPr>
        <w:pStyle w:val="Style15"/>
        <w:keepNext w:val="0"/>
        <w:keepLines w:val="0"/>
        <w:widowControl w:val="0"/>
        <w:shd w:val="clear" w:color="auto" w:fill="auto"/>
        <w:bidi w:val="0"/>
        <w:spacing w:before="0" w:after="28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5"/>
        <w:keepNext w:val="0"/>
        <w:keepLines w:val="0"/>
        <w:widowControl w:val="0"/>
        <w:shd w:val="clear" w:color="auto" w:fill="auto"/>
        <w:bidi w:val="0"/>
        <w:spacing w:before="0" w:after="240" w:line="240" w:lineRule="auto"/>
        <w:ind w:left="0" w:right="0" w:firstLine="780"/>
        <w:jc w:val="both"/>
      </w:pPr>
      <w:r>
        <w:rPr>
          <w:color w:val="000000"/>
          <w:spacing w:val="0"/>
          <w:w w:val="100"/>
          <w:position w:val="0"/>
          <w:sz w:val="24"/>
          <w:szCs w:val="24"/>
          <w:shd w:val="clear" w:color="auto" w:fill="auto"/>
          <w:lang w:val="ru-RU" w:eastAsia="ru-RU" w:bidi="ru-RU"/>
        </w:rPr>
        <w:t>Признать жалобу Индивидуального предпринимателя Лучко Светланы Васильевны на положения Извещения государственного заказчика - Областного государственного бюджетного учреждения здравоохранения «Смоленская областная клиническая больница», уполномоченного органа - Главного управления Смоленской области по регулированию контрактной системы при проведении электронного аукциона: «Поставка медицинских изделий для эндоваскулярной хирургии для нужд ОГБУЗ «Смоленская областная клиническая больница»» (извещение № 0163200000324005562) необоснованной.</w:t>
      </w:r>
    </w:p>
    <w:p>
      <w:pPr>
        <w:pStyle w:val="Style15"/>
        <w:keepNext w:val="0"/>
        <w:keepLines w:val="0"/>
        <w:widowControl w:val="0"/>
        <w:shd w:val="clear" w:color="auto" w:fill="auto"/>
        <w:bidi w:val="0"/>
        <w:spacing w:before="0" w:after="580" w:line="240" w:lineRule="auto"/>
        <w:ind w:left="0" w:right="0" w:firstLine="700"/>
        <w:jc w:val="both"/>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Заместитель</w:t>
      </w:r>
    </w:p>
    <w:p>
      <w:pPr>
        <w:pStyle w:val="Style15"/>
        <w:keepNext w:val="0"/>
        <w:keepLines w:val="0"/>
        <w:widowControl w:val="0"/>
        <w:shd w:val="clear" w:color="auto" w:fill="auto"/>
        <w:tabs>
          <w:tab w:leader="underscore" w:pos="6442" w:val="left"/>
        </w:tabs>
        <w:bidi w:val="0"/>
        <w:spacing w:before="0" w:after="580" w:line="240" w:lineRule="auto"/>
        <w:ind w:left="0" w:right="0" w:firstLine="0"/>
        <w:jc w:val="both"/>
      </w:pPr>
      <w:r>
        <w:rPr>
          <w:color w:val="000000"/>
          <w:spacing w:val="0"/>
          <w:w w:val="100"/>
          <w:position w:val="0"/>
          <w:sz w:val="24"/>
          <w:szCs w:val="24"/>
          <w:shd w:val="clear" w:color="auto" w:fill="auto"/>
          <w:lang w:val="ru-RU" w:eastAsia="ru-RU" w:bidi="ru-RU"/>
        </w:rPr>
        <w:t xml:space="preserve">председателя Комиссии </w:t>
        <w:tab/>
      </w:r>
    </w:p>
    <w:p>
      <w:pPr>
        <w:pStyle w:val="Style15"/>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r>
    </w:p>
    <w:sectPr>
      <w:headerReference w:type="default" r:id="rId17"/>
      <w:footerReference w:type="default" r:id="rId18"/>
      <w:footnotePr>
        <w:pos w:val="pageBottom"/>
        <w:numFmt w:val="decimal"/>
        <w:numRestart w:val="continuous"/>
      </w:footnotePr>
      <w:pgSz w:w="11900" w:h="16840"/>
      <w:pgMar w:top="1700" w:right="522" w:bottom="170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2024-4402</w:t>
                          </w:r>
                        </w:p>
                      </w:txbxContent>
                    </wps:txbx>
                    <wps:bodyPr wrap="none" lIns="0" tIns="0" rIns="0" bIns="0">
                      <a:spAutoFit/>
                    </wps:bodyPr>
                  </wps:wsp>
                </a:graphicData>
              </a:graphic>
            </wp:anchor>
          </w:drawing>
        </mc:Choice>
        <mc:Fallback>
          <w:pict>
            <v:shape id="_x0000_s1030" type="#_x0000_t202" style="position:absolute;margin-left:57.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9854565</wp:posOffset>
              </wp:positionV>
              <wp:extent cx="646430" cy="103505"/>
              <wp:wrapNone/>
              <wp:docPr id="6" name="Shape 6"/>
              <a:graphic xmlns:a="http://schemas.openxmlformats.org/drawingml/2006/main">
                <a:graphicData uri="http://schemas.microsoft.com/office/word/2010/wordprocessingShape">
                  <wps:wsp>
                    <wps:cNvSpPr txBox="1"/>
                    <wps:spPr>
                      <a:xfrm>
                        <a:ext cx="6464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color w:val="272727"/>
                              <w:spacing w:val="0"/>
                              <w:w w:val="100"/>
                              <w:position w:val="0"/>
                              <w:sz w:val="24"/>
                              <w:szCs w:val="24"/>
                              <w:shd w:val="clear" w:color="auto" w:fill="auto"/>
                              <w:lang w:val="ru-RU" w:eastAsia="ru-RU" w:bidi="ru-RU"/>
                            </w:rPr>
                            <w:t>2024-4402</w:t>
                          </w:r>
                        </w:p>
                      </w:txbxContent>
                    </wps:txbx>
                    <wps:bodyPr wrap="none" lIns="0" tIns="0" rIns="0" bIns="0">
                      <a:spAutoFit/>
                    </wps:bodyPr>
                  </wps:wsp>
                </a:graphicData>
              </a:graphic>
            </wp:anchor>
          </w:drawing>
        </mc:Choice>
        <mc:Fallback>
          <w:pict>
            <v:shape id="_x0000_s1032" type="#_x0000_t202" style="position:absolute;margin-left:57.200000000000003pt;margin-top:775.95000000000005pt;width:50.89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color w:val="272727"/>
                        <w:spacing w:val="0"/>
                        <w:w w:val="100"/>
                        <w:position w:val="0"/>
                        <w:sz w:val="24"/>
                        <w:szCs w:val="24"/>
                        <w:shd w:val="clear" w:color="auto" w:fill="auto"/>
                        <w:lang w:val="ru-RU" w:eastAsia="ru-RU" w:bidi="ru-RU"/>
                      </w:rPr>
                      <w:t>2024-4402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10016490</wp:posOffset>
              </wp:positionV>
              <wp:extent cx="648970" cy="100330"/>
              <wp:wrapNone/>
              <wp:docPr id="18" name="Shape 18"/>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2024-4402</w:t>
                          </w:r>
                        </w:p>
                      </w:txbxContent>
                    </wps:txbx>
                    <wps:bodyPr wrap="none" lIns="0" tIns="0" rIns="0" bIns="0">
                      <a:spAutoFit/>
                    </wps:bodyPr>
                  </wps:wsp>
                </a:graphicData>
              </a:graphic>
            </wp:anchor>
          </w:drawing>
        </mc:Choice>
        <mc:Fallback>
          <w:pict>
            <v:shape id="_x0000_s1044" type="#_x0000_t202" style="position:absolute;margin-left:57.pt;margin-top:788.70000000000005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2024-4402</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723900</wp:posOffset>
              </wp:positionH>
              <wp:positionV relativeFrom="page">
                <wp:posOffset>10016490</wp:posOffset>
              </wp:positionV>
              <wp:extent cx="648970" cy="100330"/>
              <wp:wrapNone/>
              <wp:docPr id="24" name="Shape 2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2024-4402</w:t>
                          </w:r>
                        </w:p>
                      </w:txbxContent>
                    </wps:txbx>
                    <wps:bodyPr wrap="none" lIns="0" tIns="0" rIns="0" bIns="0">
                      <a:spAutoFit/>
                    </wps:bodyPr>
                  </wps:wsp>
                </a:graphicData>
              </a:graphic>
            </wp:anchor>
          </w:drawing>
        </mc:Choice>
        <mc:Fallback>
          <w:pict>
            <v:shape id="_x0000_s1050" type="#_x0000_t202" style="position:absolute;margin-left:57.pt;margin-top:788.70000000000005pt;width:51.100000000000001pt;height:7.9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3930015</wp:posOffset>
              </wp:positionH>
              <wp:positionV relativeFrom="page">
                <wp:posOffset>535305</wp:posOffset>
              </wp:positionV>
              <wp:extent cx="57785" cy="100330"/>
              <wp:wrapNone/>
              <wp:docPr id="2" name="Shape 2"/>
              <a:graphic xmlns:a="http://schemas.openxmlformats.org/drawingml/2006/main">
                <a:graphicData uri="http://schemas.microsoft.com/office/word/2010/wordprocessingShape">
                  <wps:wsp>
                    <wps:cNvSpPr txBox="1"/>
                    <wps:spPr>
                      <a:xfrm>
                        <a:ext cx="5778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44999999999999pt;margin-top:42.149999999999999pt;width:4.54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3926205</wp:posOffset>
              </wp:positionH>
              <wp:positionV relativeFrom="page">
                <wp:posOffset>762635</wp:posOffset>
              </wp:positionV>
              <wp:extent cx="54610" cy="100330"/>
              <wp:wrapNone/>
              <wp:docPr id="14" name="Shape 14"/>
              <a:graphic xmlns:a="http://schemas.openxmlformats.org/drawingml/2006/main">
                <a:graphicData uri="http://schemas.microsoft.com/office/word/2010/wordprocessingShape">
                  <wps:wsp>
                    <wps:cNvSpPr txBox="1"/>
                    <wps:spPr>
                      <a:xfrm>
                        <a:ext cx="5461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309.15000000000003pt;margin-top:60.050000000000004pt;width:4.2999999999999998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3930015</wp:posOffset>
              </wp:positionH>
              <wp:positionV relativeFrom="page">
                <wp:posOffset>535305</wp:posOffset>
              </wp:positionV>
              <wp:extent cx="57785" cy="100330"/>
              <wp:wrapNone/>
              <wp:docPr id="16" name="Shape 16"/>
              <a:graphic xmlns:a="http://schemas.openxmlformats.org/drawingml/2006/main">
                <a:graphicData uri="http://schemas.microsoft.com/office/word/2010/wordprocessingShape">
                  <wps:wsp>
                    <wps:cNvSpPr txBox="1"/>
                    <wps:spPr>
                      <a:xfrm>
                        <a:ext cx="5778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2" type="#_x0000_t202" style="position:absolute;margin-left:309.44999999999999pt;margin-top:42.149999999999999pt;width:4.5499999999999998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3926205</wp:posOffset>
              </wp:positionH>
              <wp:positionV relativeFrom="page">
                <wp:posOffset>762635</wp:posOffset>
              </wp:positionV>
              <wp:extent cx="54610" cy="100330"/>
              <wp:wrapNone/>
              <wp:docPr id="20" name="Shape 20"/>
              <a:graphic xmlns:a="http://schemas.openxmlformats.org/drawingml/2006/main">
                <a:graphicData uri="http://schemas.microsoft.com/office/word/2010/wordprocessingShape">
                  <wps:wsp>
                    <wps:cNvSpPr txBox="1"/>
                    <wps:spPr>
                      <a:xfrm>
                        <a:ext cx="5461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6" type="#_x0000_t202" style="position:absolute;margin-left:309.15000000000003pt;margin-top:60.050000000000004pt;width:4.2999999999999998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3930015</wp:posOffset>
              </wp:positionH>
              <wp:positionV relativeFrom="page">
                <wp:posOffset>535305</wp:posOffset>
              </wp:positionV>
              <wp:extent cx="57785" cy="100330"/>
              <wp:wrapNone/>
              <wp:docPr id="22" name="Shape 22"/>
              <a:graphic xmlns:a="http://schemas.openxmlformats.org/drawingml/2006/main">
                <a:graphicData uri="http://schemas.microsoft.com/office/word/2010/wordprocessingShape">
                  <wps:wsp>
                    <wps:cNvSpPr txBox="1"/>
                    <wps:spPr>
                      <a:xfrm>
                        <a:ext cx="5778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8" type="#_x0000_t202" style="position:absolute;margin-left:309.44999999999999pt;margin-top:42.149999999999999pt;width:4.5499999999999998pt;height:7.90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B6293"/>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8"/>
      <w:szCs w:val="3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line="300" w:lineRule="auto"/>
      <w:jc w:val="center"/>
    </w:pPr>
    <w:rPr>
      <w:rFonts w:ascii="Times New Roman" w:eastAsia="Times New Roman" w:hAnsi="Times New Roman" w:cs="Times New Roman"/>
      <w:b w:val="0"/>
      <w:bCs w:val="0"/>
      <w:i w:val="0"/>
      <w:iCs w:val="0"/>
      <w:smallCaps w:val="0"/>
      <w:strike w:val="0"/>
      <w:color w:val="4B6293"/>
      <w:sz w:val="16"/>
      <w:szCs w:val="16"/>
      <w:u w:val="none"/>
    </w:rPr>
  </w:style>
  <w:style w:type="paragraph" w:customStyle="1" w:styleId="Style8">
    <w:name w:val="Основной текст (2)"/>
    <w:basedOn w:val="Normal"/>
    <w:link w:val="CharStyle9"/>
    <w:pPr>
      <w:widowControl w:val="0"/>
      <w:shd w:val="clear" w:color="auto" w:fill="auto"/>
      <w:spacing w:after="220"/>
    </w:pPr>
    <w:rPr>
      <w:rFonts w:ascii="Times New Roman" w:eastAsia="Times New Roman" w:hAnsi="Times New Roman" w:cs="Times New Roman"/>
      <w:b w:val="0"/>
      <w:bCs w:val="0"/>
      <w:i w:val="0"/>
      <w:iCs w:val="0"/>
      <w:smallCaps w:val="0"/>
      <w:strike w:val="0"/>
      <w:sz w:val="19"/>
      <w:szCs w:val="19"/>
      <w:u w:val="none"/>
    </w:rPr>
  </w:style>
  <w:style w:type="paragraph" w:customStyle="1" w:styleId="Style11">
    <w:name w:val="Заголовок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Заголовок №3"/>
    <w:basedOn w:val="Normal"/>
    <w:link w:val="CharStyle18"/>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22">
    <w:name w:val="Заголовок №1"/>
    <w:basedOn w:val="Normal"/>
    <w:link w:val="CharStyle23"/>
    <w:pPr>
      <w:widowControl w:val="0"/>
      <w:shd w:val="clear" w:color="auto" w:fill="auto"/>
      <w:spacing w:after="10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s>
</file>