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3723005</wp:posOffset>
            </wp:positionH>
            <wp:positionV relativeFrom="paragraph">
              <wp:posOffset>12700</wp:posOffset>
            </wp:positionV>
            <wp:extent cx="524510" cy="628015"/>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24510" cy="628015"/>
                    </a:xfrm>
                    <a:prstGeom prst="rect"/>
                  </pic:spPr>
                </pic:pic>
              </a:graphicData>
            </a:graphic>
          </wp:anchor>
        </w:drawing>
      </w:r>
    </w:p>
    <w:p>
      <w:pPr>
        <w:pStyle w:val="Style2"/>
        <w:keepNext w:val="0"/>
        <w:keepLines w:val="0"/>
        <w:widowControl w:val="0"/>
        <w:shd w:val="clear" w:color="auto" w:fill="auto"/>
        <w:bidi w:val="0"/>
        <w:spacing w:before="0" w:after="120" w:line="30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УПРАВЛЕНИЕ</w:t>
        <w:br/>
        <w:t>Федеральной антимонопольной</w:t>
        <w:br/>
        <w:t>службы</w:t>
        <w:br/>
        <w:t>по Республике Коми</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Интернациональная, 160А, г. Сыктывкар,</w:t>
        <w:br/>
        <w:t>ГСП-2, 167982, тел./факс: (8212) 21-41-29</w:t>
        <w:br/>
        <w:t>е-таП: 1о11@Га8.§оу.ги</w:t>
      </w:r>
    </w:p>
    <w:p>
      <w:pPr>
        <w:pStyle w:val="Style10"/>
        <w:keepNext w:val="0"/>
        <w:keepLines w:val="0"/>
        <w:widowControl w:val="0"/>
        <w:shd w:val="clear" w:color="auto" w:fill="auto"/>
        <w:tabs>
          <w:tab w:pos="1838" w:val="left"/>
        </w:tabs>
        <w:bidi w:val="0"/>
        <w:spacing w:before="0"/>
        <w:ind w:left="0" w:right="0" w:firstLine="0"/>
        <w:jc w:val="center"/>
      </w:pPr>
      <w:r>
        <w:rPr>
          <w:color w:val="000000"/>
          <w:spacing w:val="0"/>
          <w:w w:val="100"/>
          <w:position w:val="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1.10.2024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ОД/5567/24</w:t>
      </w:r>
    </w:p>
    <w:p>
      <w:pPr>
        <w:pStyle w:val="Style8"/>
        <w:keepNext w:val="0"/>
        <w:keepLines w:val="0"/>
        <w:widowControl w:val="0"/>
        <w:shd w:val="clear" w:color="auto" w:fill="auto"/>
        <w:bidi w:val="0"/>
        <w:spacing w:before="0" w:after="0" w:line="271"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2"/>
        <w:keepNext w:val="0"/>
        <w:keepLines w:val="0"/>
        <w:widowControl w:val="0"/>
        <w:shd w:val="clear" w:color="auto" w:fill="auto"/>
        <w:bidi w:val="0"/>
        <w:spacing w:before="0" w:after="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ФЕДЕРАЛЬНОЙ</w:t>
      </w:r>
    </w:p>
    <w:p>
      <w:pPr>
        <w:pStyle w:val="Style2"/>
        <w:keepNext w:val="0"/>
        <w:keepLines w:val="0"/>
        <w:widowControl w:val="0"/>
        <w:shd w:val="clear" w:color="auto" w:fill="auto"/>
        <w:bidi w:val="0"/>
        <w:spacing w:before="0" w:after="140" w:line="288" w:lineRule="auto"/>
        <w:ind w:left="420" w:right="0" w:firstLine="0"/>
        <w:jc w:val="right"/>
        <w:rPr>
          <w:sz w:val="17"/>
          <w:szCs w:val="17"/>
        </w:rPr>
      </w:pPr>
      <w:r>
        <w:rPr>
          <w:b/>
          <w:bCs/>
          <w:spacing w:val="0"/>
          <w:w w:val="100"/>
          <w:position w:val="0"/>
          <w:sz w:val="17"/>
          <w:szCs w:val="17"/>
          <w:shd w:val="clear" w:color="auto" w:fill="auto"/>
          <w:lang w:val="ru-RU" w:eastAsia="ru-RU" w:bidi="ru-RU"/>
        </w:rPr>
        <w:t>АНТИМОНОПОЛЬНОЙ СЛУЖБА</w:t>
      </w:r>
    </w:p>
    <w:p>
      <w:pPr>
        <w:pStyle w:val="Style8"/>
        <w:keepNext w:val="0"/>
        <w:keepLines w:val="0"/>
        <w:widowControl w:val="0"/>
        <w:shd w:val="clear" w:color="auto" w:fill="auto"/>
        <w:bidi w:val="0"/>
        <w:spacing w:before="0" w:after="0" w:line="259" w:lineRule="auto"/>
        <w:ind w:left="420" w:right="0" w:firstLine="0"/>
        <w:jc w:val="right"/>
      </w:pPr>
      <w:r>
        <w:rPr>
          <w:spacing w:val="0"/>
          <w:w w:val="100"/>
          <w:position w:val="0"/>
          <w:shd w:val="clear" w:color="auto" w:fill="auto"/>
          <w:lang w:val="ru-RU" w:eastAsia="ru-RU" w:bidi="ru-RU"/>
        </w:rPr>
        <w:t>Федеральной антимонопольной службалбн Коми Республиками</w:t>
      </w:r>
    </w:p>
    <w:p>
      <w:pPr>
        <w:pStyle w:val="Style8"/>
        <w:keepNext w:val="0"/>
        <w:keepLines w:val="0"/>
        <w:widowControl w:val="0"/>
        <w:shd w:val="clear" w:color="auto" w:fill="auto"/>
        <w:bidi w:val="0"/>
        <w:spacing w:before="0" w:after="260" w:line="259" w:lineRule="auto"/>
        <w:ind w:left="1840" w:right="0" w:firstLine="0"/>
        <w:jc w:val="left"/>
      </w:pPr>
      <w:r>
        <w:rPr>
          <w:spacing w:val="0"/>
          <w:w w:val="100"/>
          <w:position w:val="0"/>
          <w:shd w:val="clear" w:color="auto" w:fill="auto"/>
          <w:lang w:val="ru-RU" w:eastAsia="ru-RU" w:bidi="ru-RU"/>
        </w:rPr>
        <w:t>ВЕСЬКОДЛАНШ</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Интернациональной ул., 160А,</w:t>
        <w:br/>
        <w:t>Сыктывкар, ГСП-2, 167982</w:t>
        <w:br/>
        <w:t>тел./факс: (8212) 21-41-29</w:t>
        <w:br/>
        <w:t>е-таП: 1о11@Га8.§оу.ги</w:t>
      </w:r>
    </w:p>
    <w:p>
      <w:pPr>
        <w:pStyle w:val="Style1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Заявитель:</w:t>
      </w:r>
    </w:p>
    <w:p>
      <w:pPr>
        <w:pStyle w:val="Style1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Общество с ограниченной ответственностью</w:t>
      </w:r>
    </w:p>
    <w:p>
      <w:pPr>
        <w:pStyle w:val="Style14"/>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452" w:right="1635" w:bottom="1313" w:left="1111" w:header="0" w:footer="3" w:gutter="0"/>
          <w:pgNumType w:start="1"/>
          <w:cols w:num="2" w:space="736"/>
          <w:noEndnote/>
          <w:titlePg/>
          <w:rtlGutter w:val="0"/>
          <w:docGrid w:linePitch="360"/>
        </w:sectPr>
      </w:pPr>
      <w:r>
        <w:rPr>
          <w:b/>
          <w:bCs/>
          <w:color w:val="000000"/>
          <w:spacing w:val="0"/>
          <w:w w:val="100"/>
          <w:position w:val="0"/>
          <w:shd w:val="clear" w:color="auto" w:fill="auto"/>
          <w:lang w:val="ru-RU" w:eastAsia="ru-RU" w:bidi="ru-RU"/>
        </w:rPr>
        <w:t>«КАРАТ»</w:t>
      </w:r>
    </w:p>
    <w:p>
      <w:pPr>
        <w:widowControl w:val="0"/>
        <w:spacing w:line="1" w:lineRule="exact"/>
      </w:pPr>
      <w:r>
        <mc:AlternateContent>
          <mc:Choice Requires="wps">
            <w:drawing>
              <wp:anchor distT="0" distB="0" distL="114300" distR="114300" simplePos="0" relativeHeight="125829379" behindDoc="0" locked="0" layoutInCell="1" allowOverlap="1">
                <wp:simplePos x="0" y="0"/>
                <wp:positionH relativeFrom="page">
                  <wp:posOffset>735965</wp:posOffset>
                </wp:positionH>
                <wp:positionV relativeFrom="paragraph">
                  <wp:posOffset>12700</wp:posOffset>
                </wp:positionV>
                <wp:extent cx="673735" cy="234950"/>
                <wp:wrapSquare wrapText="right"/>
                <wp:docPr id="9" name="Shape 9"/>
                <a:graphic xmlns:a="http://schemas.openxmlformats.org/drawingml/2006/main">
                  <a:graphicData uri="http://schemas.microsoft.com/office/word/2010/wordprocessingShape">
                    <wps:wsp>
                      <wps:cNvSpPr txBox="1"/>
                      <wps:spPr>
                        <a:xfrm>
                          <a:ext cx="673735" cy="23495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Решение</w:t>
                            </w:r>
                          </w:p>
                        </w:txbxContent>
                      </wps:txbx>
                      <wps:bodyPr wrap="none" lIns="0" tIns="0" rIns="0" bIns="0">
                        <a:noAutoFit/>
                      </wps:bodyPr>
                    </wps:wsp>
                  </a:graphicData>
                </a:graphic>
              </wp:anchor>
            </w:drawing>
          </mc:Choice>
          <mc:Fallback>
            <w:pict>
              <v:shape id="_x0000_s1035" type="#_x0000_t202" style="position:absolute;margin-left:57.950000000000003pt;margin-top:1.pt;width:53.050000000000004pt;height:18.5pt;z-index:-125829374;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Решение</w:t>
                      </w:r>
                    </w:p>
                  </w:txbxContent>
                </v:textbox>
                <w10:wrap type="square" side="right" anchorx="page"/>
              </v:shape>
            </w:pict>
          </mc:Fallback>
        </mc:AlternateContent>
      </w:r>
      <w:r>
        <w:drawing>
          <wp:anchor distT="50800" distB="0" distL="114300" distR="114300" simplePos="0" relativeHeight="125829381" behindDoc="0" locked="0" layoutInCell="1" allowOverlap="1">
            <wp:simplePos x="0" y="0"/>
            <wp:positionH relativeFrom="page">
              <wp:posOffset>714375</wp:posOffset>
            </wp:positionH>
            <wp:positionV relativeFrom="paragraph">
              <wp:posOffset>6607810</wp:posOffset>
            </wp:positionV>
            <wp:extent cx="1517650" cy="292735"/>
            <wp:wrapTopAndBottom/>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1"/>
                    <a:stretch/>
                  </pic:blipFill>
                  <pic:spPr>
                    <a:xfrm>
                      <a:ext cx="1517650" cy="292735"/>
                    </a:xfrm>
                    <a:prstGeom prst="rect"/>
                  </pic:spPr>
                </pic:pic>
              </a:graphicData>
            </a:graphic>
          </wp:anchor>
        </w:drawing>
      </w:r>
    </w:p>
    <w:p>
      <w:pPr>
        <w:pStyle w:val="Style14"/>
        <w:keepNext w:val="0"/>
        <w:keepLines w:val="0"/>
        <w:widowControl w:val="0"/>
        <w:shd w:val="clear" w:color="auto" w:fill="auto"/>
        <w:bidi w:val="0"/>
        <w:spacing w:before="0" w:after="260" w:line="240" w:lineRule="auto"/>
        <w:ind w:left="3720" w:right="0" w:firstLine="0"/>
        <w:jc w:val="left"/>
      </w:pPr>
      <w:r>
        <w:rPr>
          <w:color w:val="000000"/>
          <w:spacing w:val="0"/>
          <w:w w:val="100"/>
          <w:position w:val="0"/>
          <w:shd w:val="clear" w:color="auto" w:fill="auto"/>
          <w:lang w:val="ru-RU" w:eastAsia="ru-RU" w:bidi="ru-RU"/>
        </w:rPr>
        <w:t>через Единую информационную систему</w:t>
      </w:r>
    </w:p>
    <w:p>
      <w:pPr>
        <w:pStyle w:val="Style14"/>
        <w:keepNext w:val="0"/>
        <w:keepLines w:val="0"/>
        <w:widowControl w:val="0"/>
        <w:shd w:val="clear" w:color="auto" w:fill="auto"/>
        <w:bidi w:val="0"/>
        <w:spacing w:before="0" w:after="0" w:line="240" w:lineRule="auto"/>
        <w:ind w:left="5020" w:right="0" w:firstLine="0"/>
        <w:jc w:val="left"/>
      </w:pPr>
      <w:r>
        <w:rPr>
          <w:b/>
          <w:bCs/>
          <w:color w:val="000000"/>
          <w:spacing w:val="0"/>
          <w:w w:val="100"/>
          <w:position w:val="0"/>
          <w:shd w:val="clear" w:color="auto" w:fill="auto"/>
          <w:lang w:val="ru-RU" w:eastAsia="ru-RU" w:bidi="ru-RU"/>
        </w:rPr>
        <w:t>Заказчик:</w:t>
      </w:r>
    </w:p>
    <w:p>
      <w:pPr>
        <w:pStyle w:val="Style14"/>
        <w:keepNext w:val="0"/>
        <w:keepLines w:val="0"/>
        <w:widowControl w:val="0"/>
        <w:shd w:val="clear" w:color="auto" w:fill="auto"/>
        <w:bidi w:val="0"/>
        <w:spacing w:before="0" w:after="0" w:line="240" w:lineRule="auto"/>
        <w:ind w:left="5020" w:right="0" w:firstLine="0"/>
        <w:jc w:val="left"/>
      </w:pPr>
      <w:r>
        <w:rPr>
          <w:b/>
          <w:bCs/>
          <w:color w:val="000000"/>
          <w:spacing w:val="0"/>
          <w:w w:val="100"/>
          <w:position w:val="0"/>
          <w:shd w:val="clear" w:color="auto" w:fill="auto"/>
          <w:lang w:val="ru-RU" w:eastAsia="ru-RU" w:bidi="ru-RU"/>
        </w:rPr>
        <w:t>Государственное бюджетное учреждение здравоохранения</w:t>
      </w:r>
    </w:p>
    <w:p>
      <w:pPr>
        <w:pStyle w:val="Style14"/>
        <w:keepNext w:val="0"/>
        <w:keepLines w:val="0"/>
        <w:widowControl w:val="0"/>
        <w:shd w:val="clear" w:color="auto" w:fill="auto"/>
        <w:bidi w:val="0"/>
        <w:spacing w:before="0" w:after="260" w:line="240" w:lineRule="auto"/>
        <w:ind w:left="5020" w:right="0" w:firstLine="0"/>
        <w:jc w:val="left"/>
      </w:pPr>
      <w:r>
        <w:rPr>
          <w:b/>
          <w:bCs/>
          <w:color w:val="000000"/>
          <w:spacing w:val="0"/>
          <w:w w:val="100"/>
          <w:position w:val="0"/>
          <w:shd w:val="clear" w:color="auto" w:fill="auto"/>
          <w:lang w:val="ru-RU" w:eastAsia="ru-RU" w:bidi="ru-RU"/>
        </w:rPr>
        <w:t>Республики Коми «Печорская центральная районная больница»</w:t>
      </w:r>
    </w:p>
    <w:p>
      <w:pPr>
        <w:pStyle w:val="Style14"/>
        <w:keepNext w:val="0"/>
        <w:keepLines w:val="0"/>
        <w:widowControl w:val="0"/>
        <w:shd w:val="clear" w:color="auto" w:fill="auto"/>
        <w:bidi w:val="0"/>
        <w:spacing w:before="0" w:after="260" w:line="240" w:lineRule="auto"/>
        <w:ind w:left="5020" w:right="0" w:firstLine="0"/>
        <w:jc w:val="left"/>
      </w:pPr>
      <w:r>
        <w:rPr>
          <w:color w:val="000000"/>
          <w:spacing w:val="0"/>
          <w:w w:val="100"/>
          <w:position w:val="0"/>
          <w:shd w:val="clear" w:color="auto" w:fill="auto"/>
          <w:lang w:val="ru-RU" w:eastAsia="ru-RU" w:bidi="ru-RU"/>
        </w:rPr>
        <w:t>через Единую информационную систему</w:t>
      </w:r>
    </w:p>
    <w:p>
      <w:pPr>
        <w:pStyle w:val="Style14"/>
        <w:keepNext w:val="0"/>
        <w:keepLines w:val="0"/>
        <w:widowControl w:val="0"/>
        <w:shd w:val="clear" w:color="auto" w:fill="auto"/>
        <w:bidi w:val="0"/>
        <w:spacing w:before="0" w:after="0" w:line="240" w:lineRule="auto"/>
        <w:ind w:left="5020" w:right="0" w:firstLine="0"/>
        <w:jc w:val="left"/>
      </w:pPr>
      <w:r>
        <w:rPr>
          <w:b/>
          <w:bCs/>
          <w:color w:val="000000"/>
          <w:spacing w:val="0"/>
          <w:w w:val="100"/>
          <w:position w:val="0"/>
          <w:shd w:val="clear" w:color="auto" w:fill="auto"/>
          <w:lang w:val="ru-RU" w:eastAsia="ru-RU" w:bidi="ru-RU"/>
        </w:rPr>
        <w:t>Уполномоченное учреждение:</w:t>
      </w:r>
    </w:p>
    <w:p>
      <w:pPr>
        <w:pStyle w:val="Style14"/>
        <w:keepNext w:val="0"/>
        <w:keepLines w:val="0"/>
        <w:widowControl w:val="0"/>
        <w:shd w:val="clear" w:color="auto" w:fill="auto"/>
        <w:bidi w:val="0"/>
        <w:spacing w:before="0" w:after="0" w:line="240" w:lineRule="auto"/>
        <w:ind w:left="5020" w:right="0" w:firstLine="0"/>
        <w:jc w:val="left"/>
      </w:pPr>
      <w:r>
        <w:rPr>
          <w:b/>
          <w:bCs/>
          <w:color w:val="000000"/>
          <w:spacing w:val="0"/>
          <w:w w:val="100"/>
          <w:position w:val="0"/>
          <w:shd w:val="clear" w:color="auto" w:fill="auto"/>
          <w:lang w:val="ru-RU" w:eastAsia="ru-RU" w:bidi="ru-RU"/>
        </w:rPr>
        <w:t>Государственное казенное учреждение</w:t>
      </w:r>
    </w:p>
    <w:p>
      <w:pPr>
        <w:pStyle w:val="Style14"/>
        <w:keepNext w:val="0"/>
        <w:keepLines w:val="0"/>
        <w:widowControl w:val="0"/>
        <w:shd w:val="clear" w:color="auto" w:fill="auto"/>
        <w:bidi w:val="0"/>
        <w:spacing w:before="0" w:after="0" w:line="240" w:lineRule="auto"/>
        <w:ind w:left="5020" w:right="0" w:firstLine="0"/>
        <w:jc w:val="left"/>
      </w:pPr>
      <w:r>
        <w:rPr>
          <w:b/>
          <w:bCs/>
          <w:color w:val="000000"/>
          <w:spacing w:val="0"/>
          <w:w w:val="100"/>
          <w:position w:val="0"/>
          <w:shd w:val="clear" w:color="auto" w:fill="auto"/>
          <w:lang w:val="ru-RU" w:eastAsia="ru-RU" w:bidi="ru-RU"/>
        </w:rPr>
        <w:t>Республики Коми</w:t>
      </w:r>
    </w:p>
    <w:p>
      <w:pPr>
        <w:pStyle w:val="Style14"/>
        <w:keepNext w:val="0"/>
        <w:keepLines w:val="0"/>
        <w:widowControl w:val="0"/>
        <w:shd w:val="clear" w:color="auto" w:fill="auto"/>
        <w:bidi w:val="0"/>
        <w:spacing w:before="0" w:after="260" w:line="240" w:lineRule="auto"/>
        <w:ind w:left="5020" w:right="0" w:firstLine="0"/>
        <w:jc w:val="left"/>
      </w:pPr>
      <w:r>
        <w:rPr>
          <w:b/>
          <w:bCs/>
          <w:color w:val="000000"/>
          <w:spacing w:val="0"/>
          <w:w w:val="100"/>
          <w:position w:val="0"/>
          <w:shd w:val="clear" w:color="auto" w:fill="auto"/>
          <w:lang w:val="ru-RU" w:eastAsia="ru-RU" w:bidi="ru-RU"/>
        </w:rPr>
        <w:t xml:space="preserve">«Центр обеспечения организации и проведения торгов» </w:t>
      </w:r>
      <w:r>
        <w:rPr>
          <w:color w:val="000000"/>
          <w:spacing w:val="0"/>
          <w:w w:val="100"/>
          <w:position w:val="0"/>
          <w:shd w:val="clear" w:color="auto" w:fill="auto"/>
          <w:lang w:val="ru-RU" w:eastAsia="ru-RU" w:bidi="ru-RU"/>
        </w:rPr>
        <w:t>через Единую информационную систему</w:t>
      </w:r>
    </w:p>
    <w:p>
      <w:pPr>
        <w:pStyle w:val="Style14"/>
        <w:keepNext w:val="0"/>
        <w:keepLines w:val="0"/>
        <w:widowControl w:val="0"/>
        <w:shd w:val="clear" w:color="auto" w:fill="auto"/>
        <w:bidi w:val="0"/>
        <w:spacing w:before="0" w:after="260" w:line="240" w:lineRule="auto"/>
        <w:ind w:left="5020" w:right="0" w:firstLine="0"/>
        <w:jc w:val="left"/>
      </w:pPr>
      <w:r>
        <w:rPr>
          <w:b/>
          <w:bCs/>
          <w:color w:val="000000"/>
          <w:spacing w:val="0"/>
          <w:w w:val="100"/>
          <w:position w:val="0"/>
          <w:shd w:val="clear" w:color="auto" w:fill="auto"/>
          <w:lang w:val="ru-RU" w:eastAsia="ru-RU" w:bidi="ru-RU"/>
        </w:rPr>
        <w:t>Общество с ограниченной ответственностью «РТС-Тендер»</w:t>
      </w:r>
    </w:p>
    <w:p>
      <w:pPr>
        <w:pStyle w:val="Style14"/>
        <w:keepNext w:val="0"/>
        <w:keepLines w:val="0"/>
        <w:widowControl w:val="0"/>
        <w:shd w:val="clear" w:color="auto" w:fill="auto"/>
        <w:bidi w:val="0"/>
        <w:spacing w:before="0" w:after="660" w:line="240" w:lineRule="auto"/>
        <w:ind w:left="5020" w:right="0" w:firstLine="0"/>
        <w:jc w:val="left"/>
      </w:pPr>
      <w:r>
        <w:rPr>
          <w:color w:val="000000"/>
          <w:spacing w:val="0"/>
          <w:w w:val="100"/>
          <w:position w:val="0"/>
          <w:shd w:val="clear" w:color="auto" w:fill="auto"/>
          <w:lang w:val="ru-RU" w:eastAsia="ru-RU" w:bidi="ru-RU"/>
        </w:rPr>
        <w:t>через Единую информационную систему</w:t>
      </w:r>
    </w:p>
    <w:p>
      <w:pPr>
        <w:pStyle w:val="Style21"/>
        <w:keepNext/>
        <w:keepLines/>
        <w:widowControl w:val="0"/>
        <w:shd w:val="clear" w:color="auto" w:fill="auto"/>
        <w:bidi w:val="0"/>
        <w:spacing w:before="0" w:after="0" w:line="240" w:lineRule="auto"/>
        <w:ind w:left="0" w:right="0" w:firstLine="0"/>
        <w:jc w:val="center"/>
        <w:rPr>
          <w:sz w:val="32"/>
          <w:szCs w:val="32"/>
        </w:rPr>
      </w:pPr>
      <w:bookmarkStart w:id="0" w:name="bookmark0"/>
      <w:r>
        <w:rPr>
          <w:b/>
          <w:bCs/>
          <w:color w:val="000000"/>
          <w:spacing w:val="0"/>
          <w:w w:val="100"/>
          <w:position w:val="0"/>
          <w:sz w:val="32"/>
          <w:szCs w:val="32"/>
          <w:shd w:val="clear" w:color="auto" w:fill="auto"/>
          <w:lang w:val="ru-RU" w:eastAsia="ru-RU" w:bidi="ru-RU"/>
        </w:rPr>
        <w:t>РЕШЕНИЕ</w:t>
      </w:r>
      <w:bookmarkEnd w:id="0"/>
    </w:p>
    <w:p>
      <w:pPr>
        <w:pStyle w:val="Style14"/>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по жалобе № 011/06/33-874/2024</w:t>
      </w:r>
    </w:p>
    <w:p>
      <w:pPr>
        <w:pStyle w:val="Style14"/>
        <w:keepNext w:val="0"/>
        <w:keepLines w:val="0"/>
        <w:widowControl w:val="0"/>
        <w:shd w:val="clear" w:color="auto" w:fill="auto"/>
        <w:bidi w:val="0"/>
        <w:spacing w:before="0" w:after="260" w:line="240" w:lineRule="auto"/>
        <w:ind w:left="0" w:right="0" w:firstLine="0"/>
        <w:jc w:val="left"/>
      </w:pPr>
      <w:r>
        <mc:AlternateContent>
          <mc:Choice Requires="wps">
            <w:drawing>
              <wp:anchor distT="0" distB="0" distL="114300" distR="114300" simplePos="0" relativeHeight="125829382" behindDoc="0" locked="0" layoutInCell="1" allowOverlap="1">
                <wp:simplePos x="0" y="0"/>
                <wp:positionH relativeFrom="page">
                  <wp:posOffset>6240780</wp:posOffset>
                </wp:positionH>
                <wp:positionV relativeFrom="paragraph">
                  <wp:posOffset>12700</wp:posOffset>
                </wp:positionV>
                <wp:extent cx="953770" cy="234950"/>
                <wp:wrapSquare wrapText="left"/>
                <wp:docPr id="13" name="Shape 13"/>
                <a:graphic xmlns:a="http://schemas.openxmlformats.org/drawingml/2006/main">
                  <a:graphicData uri="http://schemas.microsoft.com/office/word/2010/wordprocessingShape">
                    <wps:wsp>
                      <wps:cNvSpPr txBox="1"/>
                      <wps:spPr>
                        <a:xfrm>
                          <a:ext cx="953770" cy="23495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Сыктывкар</w:t>
                            </w:r>
                          </w:p>
                        </w:txbxContent>
                      </wps:txbx>
                      <wps:bodyPr wrap="none" lIns="0" tIns="0" rIns="0" bIns="0">
                        <a:noAutoFit/>
                      </wps:bodyPr>
                    </wps:wsp>
                  </a:graphicData>
                </a:graphic>
              </wp:anchor>
            </w:drawing>
          </mc:Choice>
          <mc:Fallback>
            <w:pict>
              <v:shape id="_x0000_s1039" type="#_x0000_t202" style="position:absolute;margin-left:491.40000000000003pt;margin-top:1.pt;width:75.100000000000009pt;height:18.5pt;z-index:-125829371;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Сыктывкар</w:t>
                      </w:r>
                    </w:p>
                  </w:txbxContent>
                </v:textbox>
                <w10:wrap type="square" side="left" anchorx="page"/>
              </v:shape>
            </w:pict>
          </mc:Fallback>
        </mc:AlternateContent>
      </w:r>
      <w:r>
        <w:rPr>
          <w:color w:val="000000"/>
          <w:spacing w:val="0"/>
          <w:w w:val="100"/>
          <w:position w:val="0"/>
          <w:shd w:val="clear" w:color="auto" w:fill="auto"/>
          <w:lang w:val="ru-RU" w:eastAsia="ru-RU" w:bidi="ru-RU"/>
        </w:rPr>
        <w:t>26 сентября 2024 года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Комиссия Управления Федеральной антимонопольной службы по Республике Коми по контролю в сфере закупок, созданная приказом Коми УФАС России от 03.11.2022 № 156 </w:t>
      </w:r>
      <w:r>
        <w:rPr>
          <w:color w:val="000000"/>
          <w:spacing w:val="0"/>
          <w:w w:val="100"/>
          <w:position w:val="0"/>
          <w:shd w:val="clear" w:color="auto" w:fill="auto"/>
          <w:lang w:val="ru-RU" w:eastAsia="ru-RU" w:bidi="ru-RU"/>
        </w:rPr>
        <w:t>«О создании комиссии по контролю в сфере закупок» в составе: Дейберт О.И. - заместителя руководителя управления - начальника отдела контроля закупок, председателя Комиссии; Мокиенко А.А. - специалиста-эксперта отдела контроля закупок управления, члена Комиссии; Овериной А.В. - главного специалиста-эксперта отдела контроля закупок управления, члена Комиссии (далее - Комиссия Коми УФАС России), рассмотрев жалобу общества с ограниченной ответственностью «КАРАТ» (344103, Ростовская область, г. Ростов-на-Дону, пер. Доблестный, д. 8, офис 113; ОГРН: 1026100014775; ИНН: 6168119744; КПП: 616801001) (далее - ООО «КАРАТ») б/н б/д (вх. от 20.09.2024 № 9078/24) на действия заказчика - государственного бюджетного учреждения здравоохранения Республики Коми «Печорская центральная районная больница» (169607, Республика Коми, г. Печора, пр-кт Печорский, д. 16; ОГРН: 1021100875234; ИНН: 1105004460, КПП: 110501001) (далее - ГБУЗ РК «Печорская ЦРБ») при проведении закупки путем проведения электронного аукциона «Поставка систем анестезиологических, общего назначения (комплекс анестезиологический) для нужд ГБУЗ РК «Печорская ЦРБ», извещение № 0307200030624002034 (далее - жалоба),</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присутствии (посредством веб-конференции):</w:t>
      </w:r>
    </w:p>
    <w:p>
      <w:pPr>
        <w:pStyle w:val="Style14"/>
        <w:keepNext w:val="0"/>
        <w:keepLines w:val="0"/>
        <w:widowControl w:val="0"/>
        <w:numPr>
          <w:ilvl w:val="0"/>
          <w:numId w:val="1"/>
        </w:numPr>
        <w:shd w:val="clear" w:color="auto" w:fill="auto"/>
        <w:tabs>
          <w:tab w:pos="964"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Жиляковой М.А. - представителя ООО «КАРАТ» по доверенности от 06.08.2024;</w:t>
      </w:r>
    </w:p>
    <w:p>
      <w:pPr>
        <w:pStyle w:val="Style14"/>
        <w:keepNext w:val="0"/>
        <w:keepLines w:val="0"/>
        <w:widowControl w:val="0"/>
        <w:numPr>
          <w:ilvl w:val="0"/>
          <w:numId w:val="1"/>
        </w:numPr>
        <w:shd w:val="clear" w:color="auto" w:fill="auto"/>
        <w:tabs>
          <w:tab w:pos="910"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Магляк И.Ю. - представителя ГБУЗ РК «Печорская ЦРБ» по доверенности от 14.11.2023 № 5675;</w:t>
      </w:r>
    </w:p>
    <w:p>
      <w:pPr>
        <w:pStyle w:val="Style14"/>
        <w:keepNext w:val="0"/>
        <w:keepLines w:val="0"/>
        <w:widowControl w:val="0"/>
        <w:numPr>
          <w:ilvl w:val="0"/>
          <w:numId w:val="1"/>
        </w:numPr>
        <w:shd w:val="clear" w:color="auto" w:fill="auto"/>
        <w:tabs>
          <w:tab w:pos="939"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Шуплецовой Т.Т. (очно) - представителя государственного казенного учреждения Республики Коми «Центр обеспечения организации и проведения торгов» (далее - ГКУ РК «ЦООиПТ») по доверенности от 12.02.2024 № 14;</w:t>
      </w:r>
    </w:p>
    <w:p>
      <w:pPr>
        <w:pStyle w:val="Style14"/>
        <w:keepNext w:val="0"/>
        <w:keepLines w:val="0"/>
        <w:widowControl w:val="0"/>
        <w:numPr>
          <w:ilvl w:val="0"/>
          <w:numId w:val="1"/>
        </w:numPr>
        <w:shd w:val="clear" w:color="auto" w:fill="auto"/>
        <w:tabs>
          <w:tab w:pos="934"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Якимовой Ю.А. (очно) - представителя ГКУ РК «ЦООиПТ» по доверенности от 01.02.2024 № 12,</w:t>
      </w:r>
    </w:p>
    <w:p>
      <w:pPr>
        <w:pStyle w:val="Style14"/>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Управление Федеральной антимонопольной службы по Республике Коми с использованием Единой информационной системы в сфере закупок поступила жалоба ООО «КАРАТ» на действия заказчика - ГБУЗ РК «Печорская ЦРБ» при проведении закупки путем проведения электронного аукциона «Поставка систем анестезиологических, общего назначения (комплекс анестезиологический) для нужд ГБУЗ РК «Печорская ЦРБ», извещение № 0307200030624002034 (далее - закупка, электронный аукцион).</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Жалоба подготовлена в соответствии с требованиями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связи с чем, принята Коми УФАС России к рассмотрению.</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ООО «КАРАТ», ГБУЗ РК «Печорская ЦРБ», ГКУ РК «ЦООиПТ», общество с ограниченной ответственностью «РТС-Тендер» (далее - оператор электронной площадки) надлежащим образом о времени и месте рассмотрения жалобы извещены посредством электронной почты.</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ГБУЗ РК «Печорская ЦРБ» письмом от 25.09.2024 № 4545 (вх. от 25.09.2024 № 9247-ЭП/24) представлен отзыв на жалобу и документы, необходимые для рассмотрения жалобы.</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ГКУ РК «ЦООиПТ» письмом от 25.09.2024 № 09-02/57 (вх. от 25.09.2024 № 9250/24) представлен отзыв на жалобу.</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Оператором электронной площадки письмом от 15.08.2024 (вх. от 23.09.2024</w:t>
      </w:r>
    </w:p>
    <w:p>
      <w:pPr>
        <w:pStyle w:val="Style1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 9177-ЭП/24) в материалы жалобы представлены заявки на участие в закупке.</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части 2 статьи 106 Закона о контрактной системе лица, имеющие право действовать от имени участника закупки, подавшего жалобу, от имени субъекта (субъектов) контроля, действия (бездействие) которого (которых) обжалуются, вправе участвовать в рассмотрении жалобы по существу, в том числе с использованием систем видео</w:t>
        <w:softHyphen/>
        <w:t>конференц-связи при наличии в контрольном органе в сфере закупок технической возможности осуществления видео-конференц-связи.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ООО «КАРАТ» в составе отзыва на жалобу от 25.09.2024 № 4945 (вх. от 25.09.2024 № 9247-ЭП/24) заявлено ходатайство о рассмотрении жалобы посредством видеоконференц-связи.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ООО «КАРАТ» письмом бн б/д (вх. от 26.09.2024 № 9277-ЭП/24) заявлено ходатайство о рассмотрении жалобы в дистанционном режиме.</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Ввиду наличия технической возможности ходатайство ГБУЗ РК «Печорская ЦРБ» и ООО «КАРАТ» удовлетворено Коми УФАС России письмом от 26.09.2024 № ОД/5467/24 и жалобы рассмотрена посредством веб-конференции с использованием сервиса Тгие СопГ.</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ООО «КАРАТ» обжалованы действия заказчика при формировании описания объекта закупки.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 мнению заявителя, совокупность характеристик закупаемого товара, указанных заказчиком в описании объекта закупки, указывает на товар, производимый единственным производителем.</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 заказчик включил в описание объекта закупки требования, в совокупность всех установленных характеристик товара, устанавливают соответствие товара только единственного производителя - Миндрей, модель \\а1о ЕХ35.</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Как указано заявителем, заказчиком установлены уникальные требования к товару, такие как: «Интегрированный в тележку аппарата источник сжатого воздуха в качестве приводного газа - Наличие», «Емкость испарителя севофлюрана - </w:t>
      </w:r>
      <w:r>
        <w:rPr>
          <w:color w:val="333333"/>
          <w:spacing w:val="0"/>
          <w:w w:val="100"/>
          <w:position w:val="0"/>
          <w:shd w:val="clear" w:color="auto" w:fill="auto"/>
          <w:lang w:val="ru-RU" w:eastAsia="ru-RU" w:bidi="ru-RU"/>
        </w:rPr>
        <w:t>&gt; 360 см3», «Диапазон регулирования чувствительности триггера по давлению &lt; -20 и &gt; -1 сантиметров водяного столба», «Длительность трендов - &gt; 48 часов».</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ООО «КАРАТ» считает, что заказчиком нарушена часть 1 статьи 33 Закона о контрактной системе.</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Коми УФАС России в ходе рассмотрения жалобы, проведения внеплановой проверки осуществления закупки в соответствии с пунктом 1 части 15 статьи 99 Закона о контрактной системе, изучив представленные материалы, заслушав представителей сторон, пришла к нижеследующим выводам.</w:t>
      </w:r>
    </w:p>
    <w:p>
      <w:pPr>
        <w:pStyle w:val="Style14"/>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hd w:val="clear" w:color="auto" w:fill="auto"/>
          <w:lang w:val="ru-RU" w:eastAsia="ru-RU" w:bidi="ru-RU"/>
        </w:rPr>
        <w:t xml:space="preserve">1. </w:t>
      </w:r>
      <w:r>
        <w:rPr>
          <w:color w:val="000000"/>
          <w:spacing w:val="0"/>
          <w:w w:val="100"/>
          <w:position w:val="0"/>
          <w:shd w:val="clear" w:color="auto" w:fill="auto"/>
          <w:lang w:val="ru-RU" w:eastAsia="ru-RU" w:bidi="ru-RU"/>
        </w:rPr>
        <w:t>11.09.2024 уполномоченным учреждением - ГКУ РК «ЦООиПТ» на официальном сайте Единой информационной системы в сфере закупок - \у\у\у./акирк1.доу.ги (далее - официальный сайт, ЕИС) размещено извещение о проведении электронного аукциона для закупки № 0307200030624002034.</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Заказчиком закупки явилось - ГБУЗ РК «Печорская ЦРБ».</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Объект закупки - «Поставка систем анестезиологических, общего назначения (комплекс анестезиологический) для нужд ГБУЗ РК «Печорская ЦРБ».</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Начальная (максимальная) цена контракта составила 7 664 666,66 руб.</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Дата и время окончания срока подачи заявок - 20.09.2024 07:00.</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Дата проведения процедуры подачи предложений о цене контракта либо о сумме цен единиц товара, работы, услуги - 20.09.2024.</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Дата подведения определения поставщика (подрядчика, исполнителя) - 24.09.2024.</w:t>
      </w:r>
    </w:p>
    <w:p>
      <w:pPr>
        <w:pStyle w:val="Style14"/>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hd w:val="clear" w:color="auto" w:fill="auto"/>
          <w:lang w:val="ru-RU" w:eastAsia="ru-RU" w:bidi="ru-RU"/>
        </w:rPr>
        <w:t xml:space="preserve">2. </w:t>
      </w:r>
      <w:r>
        <w:rPr>
          <w:color w:val="000000"/>
          <w:spacing w:val="0"/>
          <w:w w:val="100"/>
          <w:position w:val="0"/>
          <w:shd w:val="clear" w:color="auto" w:fill="auto"/>
          <w:lang w:val="ru-RU" w:eastAsia="ru-RU" w:bidi="ru-RU"/>
        </w:rPr>
        <w:t>В силу статьи 6 Закона о контрактной системе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части 3 статьи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силу частей 1, 2 статьи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части 1 статьи 12 Закона о контрактной системе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Одним из конкурентных способов определения поставщиков (подрядчиков, исполнителей) является, согласно части 2 статьи 24 Закона о контрактной системе, в том числе аукцион в электронной форме.</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части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в том числе, описание объекта закупки в соответствии со статьей 33 настоящего Федерального закона.</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силу пунктов 1, 2 части 1, части 2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w:t>
      </w:r>
      <w:r>
        <w:rPr>
          <w:color w:val="000000"/>
          <w:spacing w:val="0"/>
          <w:w w:val="100"/>
          <w:position w:val="0"/>
          <w:shd w:val="clear" w:color="auto" w:fill="auto"/>
          <w:lang w:val="ru-RU" w:eastAsia="ru-RU" w:bidi="ru-RU"/>
        </w:rPr>
        <w:t>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части 3 статьи 33 Закона о контрактной системе,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описанию объекта закупки, заказчиком закупается следующий товар:</w:t>
      </w:r>
    </w:p>
    <w:p>
      <w:pPr>
        <w:pStyle w:val="Style14"/>
        <w:keepNext w:val="0"/>
        <w:keepLines w:val="0"/>
        <w:widowControl w:val="0"/>
        <w:numPr>
          <w:ilvl w:val="0"/>
          <w:numId w:val="3"/>
        </w:numPr>
        <w:shd w:val="clear" w:color="auto" w:fill="auto"/>
        <w:tabs>
          <w:tab w:pos="100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Система анестезиологическая, общего назначения, код позиции по КТРУ: 32.50.21.121-00000102.</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Характеристики закупаемого товара, относительно оспариваемых заявителем, установлены следующим образом:</w:t>
      </w:r>
    </w:p>
    <w:p>
      <w:pPr>
        <w:pStyle w:val="Style14"/>
        <w:keepNext w:val="0"/>
        <w:keepLines w:val="0"/>
        <w:widowControl w:val="0"/>
        <w:numPr>
          <w:ilvl w:val="0"/>
          <w:numId w:val="3"/>
        </w:numPr>
        <w:shd w:val="clear" w:color="auto" w:fill="auto"/>
        <w:tabs>
          <w:tab w:pos="1002" w:val="left"/>
        </w:tabs>
        <w:bidi w:val="0"/>
        <w:spacing w:before="0" w:after="0" w:line="240" w:lineRule="auto"/>
        <w:ind w:left="0" w:right="0" w:firstLine="740"/>
        <w:jc w:val="both"/>
      </w:pPr>
      <w:r>
        <w:rPr>
          <w:color w:val="333333"/>
          <w:spacing w:val="0"/>
          <w:w w:val="100"/>
          <w:position w:val="0"/>
          <w:shd w:val="clear" w:color="auto" w:fill="auto"/>
          <w:lang w:val="ru-RU" w:eastAsia="ru-RU" w:bidi="ru-RU"/>
        </w:rPr>
        <w:t>интегрированный в тележку аппарата источник сжатого воздух в качестве приводного газа - наличие;</w:t>
      </w:r>
    </w:p>
    <w:p>
      <w:pPr>
        <w:pStyle w:val="Style14"/>
        <w:keepNext w:val="0"/>
        <w:keepLines w:val="0"/>
        <w:widowControl w:val="0"/>
        <w:numPr>
          <w:ilvl w:val="0"/>
          <w:numId w:val="3"/>
        </w:numPr>
        <w:shd w:val="clear" w:color="auto" w:fill="auto"/>
        <w:tabs>
          <w:tab w:pos="1743" w:val="left"/>
        </w:tabs>
        <w:bidi w:val="0"/>
        <w:spacing w:before="0" w:after="0" w:line="240" w:lineRule="auto"/>
        <w:ind w:left="0" w:right="0" w:firstLine="740"/>
        <w:jc w:val="both"/>
      </w:pPr>
      <w:r>
        <w:rPr>
          <w:color w:val="333333"/>
          <w:spacing w:val="0"/>
          <w:w w:val="100"/>
          <w:position w:val="0"/>
          <w:shd w:val="clear" w:color="auto" w:fill="auto"/>
          <w:lang w:val="ru-RU" w:eastAsia="ru-RU" w:bidi="ru-RU"/>
        </w:rPr>
        <w:t>емкость испарителя севофлюрана - &gt; 360 см3;</w:t>
      </w:r>
    </w:p>
    <w:p>
      <w:pPr>
        <w:pStyle w:val="Style14"/>
        <w:keepNext w:val="0"/>
        <w:keepLines w:val="0"/>
        <w:widowControl w:val="0"/>
        <w:numPr>
          <w:ilvl w:val="0"/>
          <w:numId w:val="3"/>
        </w:numPr>
        <w:shd w:val="clear" w:color="auto" w:fill="auto"/>
        <w:tabs>
          <w:tab w:pos="1002" w:val="left"/>
        </w:tabs>
        <w:bidi w:val="0"/>
        <w:spacing w:before="0" w:after="0" w:line="240" w:lineRule="auto"/>
        <w:ind w:left="0" w:right="0" w:firstLine="740"/>
        <w:jc w:val="both"/>
      </w:pPr>
      <w:r>
        <w:rPr>
          <w:color w:val="333333"/>
          <w:spacing w:val="0"/>
          <w:w w:val="100"/>
          <w:position w:val="0"/>
          <w:shd w:val="clear" w:color="auto" w:fill="auto"/>
          <w:lang w:val="ru-RU" w:eastAsia="ru-RU" w:bidi="ru-RU"/>
        </w:rPr>
        <w:t>диапазон регулирования чувствительности триггера по давлению - &lt; -20 и &gt; -1 сантиметров водяного столба;</w:t>
      </w:r>
    </w:p>
    <w:p>
      <w:pPr>
        <w:pStyle w:val="Style14"/>
        <w:keepNext w:val="0"/>
        <w:keepLines w:val="0"/>
        <w:widowControl w:val="0"/>
        <w:numPr>
          <w:ilvl w:val="0"/>
          <w:numId w:val="3"/>
        </w:numPr>
        <w:shd w:val="clear" w:color="auto" w:fill="auto"/>
        <w:tabs>
          <w:tab w:pos="1743" w:val="left"/>
        </w:tabs>
        <w:bidi w:val="0"/>
        <w:spacing w:before="0" w:after="0" w:line="240" w:lineRule="auto"/>
        <w:ind w:left="0" w:right="0" w:firstLine="740"/>
        <w:jc w:val="both"/>
      </w:pPr>
      <w:r>
        <w:rPr>
          <w:color w:val="333333"/>
          <w:spacing w:val="0"/>
          <w:w w:val="100"/>
          <w:position w:val="0"/>
          <w:shd w:val="clear" w:color="auto" w:fill="auto"/>
          <w:lang w:val="ru-RU" w:eastAsia="ru-RU" w:bidi="ru-RU"/>
        </w:rPr>
        <w:t>длительность трендов - &gt; 48 часов.</w:t>
      </w:r>
    </w:p>
    <w:p>
      <w:pPr>
        <w:pStyle w:val="Style14"/>
        <w:keepNext w:val="0"/>
        <w:keepLines w:val="0"/>
        <w:widowControl w:val="0"/>
        <w:shd w:val="clear" w:color="auto" w:fill="auto"/>
        <w:bidi w:val="0"/>
        <w:spacing w:before="0" w:after="0" w:line="240" w:lineRule="auto"/>
        <w:ind w:left="0" w:right="0" w:firstLine="740"/>
        <w:jc w:val="both"/>
      </w:pPr>
      <w:r>
        <w:rPr>
          <w:color w:val="333333"/>
          <w:spacing w:val="0"/>
          <w:w w:val="100"/>
          <w:position w:val="0"/>
          <w:shd w:val="clear" w:color="auto" w:fill="auto"/>
          <w:lang w:val="ru-RU" w:eastAsia="ru-RU" w:bidi="ru-RU"/>
        </w:rPr>
        <w:t>Описание вида медицинского изделия в соответствии с Номенклатурной классификацией медицинских изделий по видам указано в КТРУ</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части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Постановлением Правительства Российской Федерации от 08.02.2017 № 145 утверждены правила использования каталога товаров, работ, услуг для обеспечения государственных и муниципальных нужд (далее - Правила).</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пунктам 4, 5, 6 Правил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08.02.2017 № 145,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4"/>
        <w:keepNext w:val="0"/>
        <w:keepLines w:val="0"/>
        <w:widowControl w:val="0"/>
        <w:numPr>
          <w:ilvl w:val="0"/>
          <w:numId w:val="5"/>
        </w:numPr>
        <w:shd w:val="clear" w:color="auto" w:fill="auto"/>
        <w:tabs>
          <w:tab w:pos="1095"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наименование товара, работы, услуги;</w:t>
      </w:r>
    </w:p>
    <w:p>
      <w:pPr>
        <w:pStyle w:val="Style14"/>
        <w:keepNext w:val="0"/>
        <w:keepLines w:val="0"/>
        <w:widowControl w:val="0"/>
        <w:numPr>
          <w:ilvl w:val="0"/>
          <w:numId w:val="5"/>
        </w:numPr>
        <w:shd w:val="clear" w:color="auto" w:fill="auto"/>
        <w:tabs>
          <w:tab w:pos="1094"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14"/>
        <w:keepNext w:val="0"/>
        <w:keepLines w:val="0"/>
        <w:widowControl w:val="0"/>
        <w:numPr>
          <w:ilvl w:val="0"/>
          <w:numId w:val="5"/>
        </w:numPr>
        <w:shd w:val="clear" w:color="auto" w:fill="auto"/>
        <w:tabs>
          <w:tab w:pos="1109"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описание товара, работы, услуги (при наличии такого описания в позиции).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 которые не предусмотрены в позиции каталога.</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14"/>
        <w:keepNext w:val="0"/>
        <w:keepLines w:val="0"/>
        <w:widowControl w:val="0"/>
        <w:shd w:val="clear" w:color="auto" w:fill="auto"/>
        <w:bidi w:val="0"/>
        <w:spacing w:before="0" w:after="0" w:line="240" w:lineRule="auto"/>
        <w:ind w:left="0" w:right="0" w:firstLine="740"/>
        <w:jc w:val="both"/>
      </w:pPr>
      <w:r>
        <w:rPr>
          <w:color w:val="333333"/>
          <w:spacing w:val="0"/>
          <w:w w:val="100"/>
          <w:position w:val="0"/>
          <w:shd w:val="clear" w:color="auto" w:fill="auto"/>
          <w:lang w:val="ru-RU" w:eastAsia="ru-RU" w:bidi="ru-RU"/>
        </w:rPr>
        <w:t xml:space="preserve">В карточке позиции КТРУ 32.50.21.121-00000102 определено следующее описание системы анестезиологической, общего назначения: </w:t>
      </w:r>
      <w:r>
        <w:rPr>
          <w:color w:val="000000"/>
          <w:spacing w:val="0"/>
          <w:w w:val="100"/>
          <w:position w:val="0"/>
          <w:shd w:val="clear" w:color="auto" w:fill="auto"/>
          <w:lang w:val="ru-RU" w:eastAsia="ru-RU" w:bidi="ru-RU"/>
        </w:rPr>
        <w:t xml:space="preserve">«Комплект электронных изделий, используемых для проведения общей ингаляционной анестезии (то есть, подачи кислорода (О2), закиси азота (К'20), других медицинских газов и анестетиков) и возможно, общей внутривенной анестезии и местной анестезии. Его основными компонентами являются системы подачи газа под высоким, средним и низким давлением, дыхательный контур (как правило, с аппаратом искусственной вентиляции легких) и система выведения </w:t>
      </w:r>
      <w:r>
        <w:rPr>
          <w:color w:val="000000"/>
          <w:spacing w:val="0"/>
          <w:w w:val="100"/>
          <w:position w:val="0"/>
          <w:shd w:val="clear" w:color="auto" w:fill="auto"/>
          <w:lang w:val="ru-RU" w:eastAsia="ru-RU" w:bidi="ru-RU"/>
        </w:rPr>
        <w:t>анестезиологических газов. В комплект входит встроенное устройство подачи сигналов тревоги, анализаторы, системы контроля/мониторинга и, как правило, интегрированные электронные/с сенсорным экраном дисплеи для проведения целевой контролируемой анестезии любым пациентам (например, новорожденным, взрослым)».</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используемой заказчиком позиции КТРУ 32.50.21.121-00000102 отсутствуют характеристики оборудования, которые следует указать при формировании описания объекта закупки. В этом случае, описание объекта закупки заказчик составляет с учетом требований статьи 33 Закона о контрактной системе. При составлении технического задания заказчик вправе определять требования к качеству, техническим и функциональным характеристикам товара, которые соответствуют его потребностям с учетом специфики его деятельности и обеспечивают эффективное использование бюджетных средств, но не способствуют ограничению количества участников закупки.</w:t>
      </w:r>
    </w:p>
    <w:p>
      <w:pPr>
        <w:pStyle w:val="Style21"/>
        <w:keepNext/>
        <w:keepLines/>
        <w:widowControl w:val="0"/>
        <w:shd w:val="clear" w:color="auto" w:fill="auto"/>
        <w:bidi w:val="0"/>
        <w:spacing w:before="0" w:after="0" w:line="240" w:lineRule="auto"/>
        <w:ind w:left="0" w:right="0"/>
        <w:jc w:val="both"/>
      </w:pPr>
      <w:bookmarkStart w:id="2" w:name="bookmark2"/>
      <w:r>
        <w:rPr>
          <w:b/>
          <w:bCs/>
          <w:color w:val="000000"/>
          <w:spacing w:val="0"/>
          <w:w w:val="100"/>
          <w:position w:val="0"/>
          <w:shd w:val="clear" w:color="auto" w:fill="auto"/>
          <w:lang w:val="ru-RU" w:eastAsia="ru-RU" w:bidi="ru-RU"/>
        </w:rPr>
        <w:t xml:space="preserve">2.1. </w:t>
      </w:r>
      <w:r>
        <w:rPr>
          <w:color w:val="000000"/>
          <w:spacing w:val="0"/>
          <w:w w:val="100"/>
          <w:position w:val="0"/>
          <w:shd w:val="clear" w:color="auto" w:fill="auto"/>
          <w:lang w:val="ru-RU" w:eastAsia="ru-RU" w:bidi="ru-RU"/>
        </w:rPr>
        <w:t xml:space="preserve">Согласно доводам жалобы, ООО «КАРАТ» обжалует включение в описание объект закупки уникальных требований к товару, такие как: «Интегрированный в тележку аппарата источник сжатого воздуха в качестве приводного газа - Наличие», «Емкость испарителя севофлюрана - </w:t>
      </w:r>
      <w:r>
        <w:rPr>
          <w:color w:val="333333"/>
          <w:spacing w:val="0"/>
          <w:w w:val="100"/>
          <w:position w:val="0"/>
          <w:shd w:val="clear" w:color="auto" w:fill="auto"/>
          <w:lang w:val="ru-RU" w:eastAsia="ru-RU" w:bidi="ru-RU"/>
        </w:rPr>
        <w:t xml:space="preserve">&gt; </w:t>
      </w:r>
      <w:r>
        <w:rPr>
          <w:color w:val="000000"/>
          <w:spacing w:val="0"/>
          <w:w w:val="100"/>
          <w:position w:val="0"/>
          <w:shd w:val="clear" w:color="auto" w:fill="auto"/>
          <w:lang w:val="ru-RU" w:eastAsia="ru-RU" w:bidi="ru-RU"/>
        </w:rPr>
        <w:t xml:space="preserve">360 см3»; «Диапазон регулирования чувствительности триггера по давлению - </w:t>
      </w:r>
      <w:r>
        <w:rPr>
          <w:color w:val="333333"/>
          <w:spacing w:val="0"/>
          <w:w w:val="100"/>
          <w:position w:val="0"/>
          <w:shd w:val="clear" w:color="auto" w:fill="auto"/>
          <w:lang w:val="ru-RU" w:eastAsia="ru-RU" w:bidi="ru-RU"/>
        </w:rPr>
        <w:t>&lt; -20 и &gt; -1 сантиметр водяного столба»; «Длительность трендов - &gt; 48 часов».</w:t>
      </w:r>
      <w:bookmarkEnd w:id="2"/>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письменным пояснениям ГБУЗ РК «Печорская ЦРБ» от 25.09.2024 № 4545 (вх. от 25.09.2024 № 9247-ЭП/24) характеристика «Интегрированный в тележку аппарата источник сжатого воздуха в качестве приводного газа - Наличие» установлена в связи со следующим.</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ГБУЗ РК «Печорская ЦРБ» отсутствует централизованная система подключения операционных к системе сжатого воздуха, автономный источник сжатого воздуха, интегрированный в тележку аппарата - единственное возможное решение.</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Без примеси в анестезиологическую смесь воздуха, вентиляция будет осуществляться 100% кислородом, что может запускать ряд патологических механизмов.</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Дополнительно стоящий компрессор, в условиях ограниченного пространства операционной, а также наличие дополнительных шлангов для подключения от автономного отдельно стоящего компрессора усложнят работ врачей анестезиологов, особенно в условиях экстренного подключения пациента к анестезиологической системе.</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Характеристика «Емкость испарителя севофлюрана - </w:t>
      </w:r>
      <w:r>
        <w:rPr>
          <w:color w:val="333333"/>
          <w:spacing w:val="0"/>
          <w:w w:val="100"/>
          <w:position w:val="0"/>
          <w:shd w:val="clear" w:color="auto" w:fill="auto"/>
          <w:lang w:val="ru-RU" w:eastAsia="ru-RU" w:bidi="ru-RU"/>
        </w:rPr>
        <w:t>&gt; 360 см3» установлена в связи со следующим.</w:t>
      </w:r>
    </w:p>
    <w:p>
      <w:pPr>
        <w:pStyle w:val="Style14"/>
        <w:keepNext w:val="0"/>
        <w:keepLines w:val="0"/>
        <w:widowControl w:val="0"/>
        <w:shd w:val="clear" w:color="auto" w:fill="auto"/>
        <w:bidi w:val="0"/>
        <w:spacing w:before="0" w:after="0" w:line="240" w:lineRule="auto"/>
        <w:ind w:left="0" w:right="0" w:firstLine="740"/>
        <w:jc w:val="both"/>
      </w:pPr>
      <w:r>
        <w:rPr>
          <w:color w:val="333333"/>
          <w:spacing w:val="0"/>
          <w:w w:val="100"/>
          <w:position w:val="0"/>
          <w:shd w:val="clear" w:color="auto" w:fill="auto"/>
          <w:lang w:val="ru-RU" w:eastAsia="ru-RU" w:bidi="ru-RU"/>
        </w:rPr>
        <w:t>Севофлюран представляет собой эфир в форме летучей жидкости, транспортируется как активный фармацевтический ингредиент, а для его хранения должен использоваться герметично закрывающийся контейнер. Когда севофлюран подвергается стадии потребления, небольшое количество севофлюрана в газообразной форме остается в емкости и сосуществует с газовой фазой (инертным газом или воздухом).</w:t>
      </w:r>
    </w:p>
    <w:p>
      <w:pPr>
        <w:pStyle w:val="Style14"/>
        <w:keepNext w:val="0"/>
        <w:keepLines w:val="0"/>
        <w:widowControl w:val="0"/>
        <w:shd w:val="clear" w:color="auto" w:fill="auto"/>
        <w:bidi w:val="0"/>
        <w:spacing w:before="0" w:after="0" w:line="240" w:lineRule="auto"/>
        <w:ind w:left="0" w:right="0" w:firstLine="740"/>
        <w:jc w:val="both"/>
      </w:pPr>
      <w:r>
        <w:rPr>
          <w:color w:val="333333"/>
          <w:spacing w:val="0"/>
          <w:w w:val="100"/>
          <w:position w:val="0"/>
          <w:shd w:val="clear" w:color="auto" w:fill="auto"/>
          <w:lang w:val="ru-RU" w:eastAsia="ru-RU" w:bidi="ru-RU"/>
        </w:rPr>
        <w:t>Основываясь на вышеуказанном, ГБУЗ РК «Печорская ЦРБ» предполагает, что данный объем является оптимальным, так как севофлюран не предполагает частых сливов анестетика, что позволит проводить операционное вмешательство в течение большего времени и реже осуществлять его долив, что обеспечит безопасные условия работы врача.</w:t>
      </w:r>
    </w:p>
    <w:p>
      <w:pPr>
        <w:pStyle w:val="Style14"/>
        <w:keepNext w:val="0"/>
        <w:keepLines w:val="0"/>
        <w:widowControl w:val="0"/>
        <w:shd w:val="clear" w:color="auto" w:fill="auto"/>
        <w:bidi w:val="0"/>
        <w:spacing w:before="0" w:after="0" w:line="240" w:lineRule="auto"/>
        <w:ind w:left="0" w:right="0" w:firstLine="740"/>
        <w:jc w:val="both"/>
      </w:pPr>
      <w:r>
        <w:rPr>
          <w:color w:val="333333"/>
          <w:spacing w:val="0"/>
          <w:w w:val="100"/>
          <w:position w:val="0"/>
          <w:shd w:val="clear" w:color="auto" w:fill="auto"/>
          <w:lang w:val="ru-RU" w:eastAsia="ru-RU" w:bidi="ru-RU"/>
        </w:rPr>
        <w:t>ГБУЗ РК «Печорская ЦРБ» обосновала, что у производителя Дрэгер имеются две модели с вышеуказанной характеристикой, в том числе с ротаметрами (Фабиус Плюс и Практис 3000).</w:t>
      </w:r>
    </w:p>
    <w:p>
      <w:pPr>
        <w:pStyle w:val="Style14"/>
        <w:keepNext w:val="0"/>
        <w:keepLines w:val="0"/>
        <w:widowControl w:val="0"/>
        <w:shd w:val="clear" w:color="auto" w:fill="auto"/>
        <w:bidi w:val="0"/>
        <w:spacing w:before="0" w:after="0" w:line="240" w:lineRule="auto"/>
        <w:ind w:left="0" w:right="0" w:firstLine="740"/>
        <w:jc w:val="both"/>
      </w:pPr>
      <w:r>
        <w:rPr>
          <w:color w:val="333333"/>
          <w:spacing w:val="0"/>
          <w:w w:val="100"/>
          <w:position w:val="0"/>
          <w:shd w:val="clear" w:color="auto" w:fill="auto"/>
          <w:lang w:val="ru-RU" w:eastAsia="ru-RU" w:bidi="ru-RU"/>
        </w:rPr>
        <w:t xml:space="preserve">Кроме того, представитель ГБУЗ РК «Печорская ЦРБ» в ходе заседания Комиссии </w:t>
      </w:r>
      <w:r>
        <w:rPr>
          <w:color w:val="333333"/>
          <w:spacing w:val="0"/>
          <w:w w:val="100"/>
          <w:position w:val="0"/>
          <w:shd w:val="clear" w:color="auto" w:fill="auto"/>
          <w:lang w:val="ru-RU" w:eastAsia="ru-RU" w:bidi="ru-RU"/>
        </w:rPr>
        <w:t>Коми УФАС России пояснила, что описание объекта закупки сформировано таким образом, чтобы обеспечить учреждение качественным в работе оборудованием.</w:t>
      </w:r>
    </w:p>
    <w:p>
      <w:pPr>
        <w:pStyle w:val="Style14"/>
        <w:keepNext w:val="0"/>
        <w:keepLines w:val="0"/>
        <w:widowControl w:val="0"/>
        <w:shd w:val="clear" w:color="auto" w:fill="auto"/>
        <w:bidi w:val="0"/>
        <w:spacing w:before="0" w:after="0" w:line="240" w:lineRule="auto"/>
        <w:ind w:left="0" w:right="0" w:firstLine="740"/>
        <w:jc w:val="both"/>
      </w:pPr>
      <w:r>
        <w:rPr>
          <w:color w:val="333333"/>
          <w:spacing w:val="0"/>
          <w:w w:val="100"/>
          <w:position w:val="0"/>
          <w:shd w:val="clear" w:color="auto" w:fill="auto"/>
          <w:lang w:val="ru-RU" w:eastAsia="ru-RU" w:bidi="ru-RU"/>
        </w:rPr>
        <w:t>Характеристика «Диапазон регулирования чувствительности триггера по давлению &lt; - 20 и &gt; -1 сантиметр водяного столба» установлена в связи со следующим.</w:t>
      </w:r>
    </w:p>
    <w:p>
      <w:pPr>
        <w:pStyle w:val="Style14"/>
        <w:keepNext w:val="0"/>
        <w:keepLines w:val="0"/>
        <w:widowControl w:val="0"/>
        <w:shd w:val="clear" w:color="auto" w:fill="auto"/>
        <w:bidi w:val="0"/>
        <w:spacing w:before="0" w:after="0" w:line="240" w:lineRule="auto"/>
        <w:ind w:left="0" w:right="0" w:firstLine="740"/>
        <w:jc w:val="both"/>
      </w:pPr>
      <w:r>
        <w:rPr>
          <w:color w:val="333333"/>
          <w:spacing w:val="0"/>
          <w:w w:val="100"/>
          <w:position w:val="0"/>
          <w:shd w:val="clear" w:color="auto" w:fill="auto"/>
          <w:lang w:val="ru-RU" w:eastAsia="ru-RU" w:bidi="ru-RU"/>
        </w:rPr>
        <w:t>Согласно пункту 5.1.17 ГОСТ Р 55953-2018 «Национальный стандарт Российской Федерации. Изделия медицинские. Аппараты наркозно-дыхательные. Технические требования для государственных закупок» (далее - ГОСТ Р 55953-2018) диапазон регулирования чувствительности триггера по давлению является требованием к параметрам вентиляции.</w:t>
      </w:r>
    </w:p>
    <w:p>
      <w:pPr>
        <w:pStyle w:val="Style14"/>
        <w:keepNext w:val="0"/>
        <w:keepLines w:val="0"/>
        <w:widowControl w:val="0"/>
        <w:shd w:val="clear" w:color="auto" w:fill="auto"/>
        <w:bidi w:val="0"/>
        <w:spacing w:before="0" w:after="0" w:line="240" w:lineRule="auto"/>
        <w:ind w:left="0" w:right="0" w:firstLine="740"/>
        <w:jc w:val="both"/>
      </w:pPr>
      <w:r>
        <w:rPr>
          <w:color w:val="333333"/>
          <w:spacing w:val="0"/>
          <w:w w:val="100"/>
          <w:position w:val="0"/>
          <w:shd w:val="clear" w:color="auto" w:fill="auto"/>
          <w:lang w:val="ru-RU" w:eastAsia="ru-RU" w:bidi="ru-RU"/>
        </w:rPr>
        <w:t>Чувствительность триггера по давлению устанавливает пороговое значение падения давления, которое воспринимается аппаратом как попытка вдоха пациента. После срабатывания триггера, аппарат либо доставляет принудительный вдох, либо осуществляет поддержу спонтанного вдоха, в зависимости от выбранного режима аппарата искусственной вентиляции легких (далее - ИВЛ). Все режимы аппарата ИВЛ по давлению приводят к более рациональному распределению дыхательной смеси в легких, чем режимы по объему, это может более благоприятно сказываться на повреждённых легких пациента.</w:t>
      </w:r>
    </w:p>
    <w:p>
      <w:pPr>
        <w:pStyle w:val="Style14"/>
        <w:keepNext w:val="0"/>
        <w:keepLines w:val="0"/>
        <w:widowControl w:val="0"/>
        <w:shd w:val="clear" w:color="auto" w:fill="auto"/>
        <w:bidi w:val="0"/>
        <w:spacing w:before="0" w:after="0" w:line="240" w:lineRule="auto"/>
        <w:ind w:left="0" w:right="0" w:firstLine="740"/>
        <w:jc w:val="both"/>
      </w:pPr>
      <w:r>
        <w:rPr>
          <w:color w:val="333333"/>
          <w:spacing w:val="0"/>
          <w:w w:val="100"/>
          <w:position w:val="0"/>
          <w:shd w:val="clear" w:color="auto" w:fill="auto"/>
          <w:lang w:val="ru-RU" w:eastAsia="ru-RU" w:bidi="ru-RU"/>
        </w:rPr>
        <w:t>Характеристика «Длительность трендов - &gt;</w:t>
      </w:r>
      <w:r>
        <w:rPr>
          <w:color w:val="000000"/>
          <w:spacing w:val="0"/>
          <w:w w:val="100"/>
          <w:position w:val="0"/>
          <w:shd w:val="clear" w:color="auto" w:fill="auto"/>
          <w:lang w:val="ru-RU" w:eastAsia="ru-RU" w:bidi="ru-RU"/>
        </w:rPr>
        <w:t>48 часов» установлена в связи со следующим.</w:t>
      </w:r>
    </w:p>
    <w:p>
      <w:pPr>
        <w:pStyle w:val="Style14"/>
        <w:keepNext w:val="0"/>
        <w:keepLines w:val="0"/>
        <w:widowControl w:val="0"/>
        <w:shd w:val="clear" w:color="auto" w:fill="auto"/>
        <w:bidi w:val="0"/>
        <w:spacing w:before="0" w:after="0" w:line="240" w:lineRule="auto"/>
        <w:ind w:left="0" w:right="0" w:firstLine="740"/>
        <w:jc w:val="both"/>
      </w:pPr>
      <w:r>
        <w:rPr>
          <w:color w:val="333333"/>
          <w:spacing w:val="0"/>
          <w:w w:val="100"/>
          <w:position w:val="0"/>
          <w:shd w:val="clear" w:color="auto" w:fill="auto"/>
          <w:lang w:val="ru-RU" w:eastAsia="ru-RU" w:bidi="ru-RU"/>
        </w:rPr>
        <w:t>Запись трендов необходима для регистрации изменений и динамики показателей пациента на протяжении заданного времени, а также для возможности проведения анализа параметров предыдущих операций в случае большого потока пациентов в операционной, а также в случае необходимости анализа показателей пациента, в том числе и при летальном исходе.</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Проанализировав описание объекта закупки, оспариваемые ООО «КАРАТ» характеристики описания объекта закупки, заслушав представителей ГКУ РК «ЦООиПТ», ГБУЗ РК «Печорская ЦРБ», Комиссия Коми УФАС России приходит к выводу, что оспариваемые заявителем характеристики к товару обоснованы учреждением и сформированы с учетом специфики лечебного учреждения и потребностей заказчика.</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Описание объекта закупки сформировано ГБУЗ РК «Печорская ЦРБ» с учетом требований, установленных законодательством Российской Федерации о контрактной системе в сфере закупок.</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Описание объекта закупки носит объективный характер и составлено, в том числе в соответствии с ГОСТ Р 555953-2018.</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установленные в описании объекта закупки требования к товару необходимы для оказания качественной медицинской помощи.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Целью закупки является обеспечение условий для оказания медицинской помощи.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При описании объекта закупки использованы не только показатели, требования и терминология, касающиеся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но и иные показатели, требования и терминология, позволяющие определить соответствие закупаемых товаров требованиям заказчика. Применение иных показателей обусловлено необходимостью отражения потребностей заказчика в части технических и качественных характеристик объекта закупки, в том числе функциональных и иных параметров, не регламентированных соответствующими Стандартами, но являющихся значимыми для удовлетворения потребности заказчика.</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Как разъяснено в постановлении Президиума Высшего Арбитражного Суда Российской Федерации от 28.12.2010 № 11017/10 по делу № А06-6611/2009,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размещения заказов,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размещения заказов.</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Включение в документацию о торгах условий, которые в итоге приводят к исключению из круга участников размещения заказа лиц, не отвечающих таким целям, не может рассматриваться как ограничение доступа к участию в торгах.</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Кроме того, податель жалобы не привел каких-либо доводов в отношении ущемления его прав и законных интересов в связи с наличием в пункте 42 описания объекта закупки.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Процедура торгов по своей правовой природе является публичной офертой, которая в соответствии с ГК РФ представляет собой предложение, которое должно быть достаточно определенным и содержать существенные условия договора, определяемые, в том числе конкурсной документацией.</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Размещение на официальном сайте аукционной документации является публичной офертой в соответствии с пунктом 2 статьи 437 ГК РФ, акцепт которой образует договор и порождает обязанность его исполнить. Заявка на участие в электронном аукционе рассматривается в качестве акцепта оферты.</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Следовательно, в силу совокупного толкования положений Закона о контрактной системе и гражданского законодательства Российской Федерации подача участником заявки для участия в закупке в электронной форме предполагает, что участник ознакомился с тем, какой товар должен быть поставлен при исполнении контракта.</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Между тем, как установлено материалами жалобы, на участие в закупке было подано 2 заявки, что не может свидетельствовать об ограничении количества участников закупки.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Дополнительно, ГБУЗ РК «Печорская ЦРБ» в отзыве на жалобу от 25.09.2024 № 4545 (вх. от 25.09.2024 № 9247-ЭП/24) отметило, что в 2024 году учреждением уже были проведены закупки на поставку систем анестезиологических с аналогичным техническим заданием.</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 результатам осуществленных закупок приняли участие в совокупности 5 участников закупки, что в силу требований законодательства Российской Федерации о контрактной системе в сфере закупок не может свидетельствовать об отсутствии состязательности между хозяйствующими субъектами и ограничением количества участников закупочных процедур.</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доводы ООО «КАРАТ» в силу недоказанности следует считать необоснованными.</w:t>
      </w:r>
    </w:p>
    <w:p>
      <w:pPr>
        <w:pStyle w:val="Style14"/>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hd w:val="clear" w:color="auto" w:fill="auto"/>
          <w:lang w:val="ru-RU" w:eastAsia="ru-RU" w:bidi="ru-RU"/>
        </w:rPr>
        <w:t xml:space="preserve">3. </w:t>
      </w:r>
      <w:r>
        <w:rPr>
          <w:color w:val="000000"/>
          <w:spacing w:val="0"/>
          <w:w w:val="100"/>
          <w:position w:val="0"/>
          <w:shd w:val="clear" w:color="auto" w:fill="auto"/>
          <w:lang w:val="ru-RU" w:eastAsia="ru-RU" w:bidi="ru-RU"/>
        </w:rPr>
        <w:t>В силу части 8 статьи 106 Закона о контрактной системе,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предписания об устранении допущенных нарушений, предусмотренного пунктом 2 части 22 статьи 99 настоящего Федерального закона.</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В соответствии с пунктом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 </w:t>
      </w:r>
      <w:r>
        <w:rPr>
          <w:i/>
          <w:iCs/>
          <w:color w:val="000000"/>
          <w:spacing w:val="0"/>
          <w:w w:val="100"/>
          <w:position w:val="0"/>
          <w:shd w:val="clear" w:color="auto" w:fill="auto"/>
          <w:lang w:val="ru-RU" w:eastAsia="ru-RU" w:bidi="ru-RU"/>
        </w:rPr>
        <w:t>а также в результате рассмотрения жалобы на действия</w:t>
        <w:br w:type="page"/>
      </w:r>
      <w:r>
        <w:rPr>
          <w:i/>
          <w:iCs/>
          <w:color w:val="000000"/>
          <w:spacing w:val="0"/>
          <w:w w:val="100"/>
          <w:position w:val="0"/>
          <w:shd w:val="clear" w:color="auto" w:fill="auto"/>
          <w:lang w:val="ru-RU" w:eastAsia="ru-RU" w:bidi="ru-RU"/>
        </w:rPr>
        <w:t>(бездействие) заказчика,</w:t>
      </w:r>
      <w:r>
        <w:rPr>
          <w:color w:val="000000"/>
          <w:spacing w:val="0"/>
          <w:w w:val="100"/>
          <w:position w:val="0"/>
          <w:shd w:val="clear" w:color="auto" w:fill="auto"/>
          <w:lang w:val="ru-RU" w:eastAsia="ru-RU" w:bidi="ru-RU"/>
        </w:rPr>
        <w:t xml:space="preserve">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 данной жалобе предписание выдаче не подлежит, так как нарушения в действиях заказчика - ГБУЗ РК «Печорская ЦРБ» при описании объекта закупки, не подтверждены.</w:t>
      </w:r>
    </w:p>
    <w:p>
      <w:pPr>
        <w:pStyle w:val="Style14"/>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С учетом всех вышеизложенных обстоятельств, руководствуясь частью 8 статьи 106 Закона о контрактной системе, Комиссия Коми УФАС России,</w:t>
      </w:r>
    </w:p>
    <w:p>
      <w:pPr>
        <w:pStyle w:val="Style14"/>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14"/>
        <w:keepNext w:val="0"/>
        <w:keepLines w:val="0"/>
        <w:widowControl w:val="0"/>
        <w:numPr>
          <w:ilvl w:val="0"/>
          <w:numId w:val="7"/>
        </w:numPr>
        <w:shd w:val="clear" w:color="auto" w:fill="auto"/>
        <w:tabs>
          <w:tab w:pos="106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Признать жалобу ООО «КАРАТ» необоснованной.</w:t>
      </w:r>
    </w:p>
    <w:p>
      <w:pPr>
        <w:pStyle w:val="Style14"/>
        <w:keepNext w:val="0"/>
        <w:keepLines w:val="0"/>
        <w:widowControl w:val="0"/>
        <w:numPr>
          <w:ilvl w:val="0"/>
          <w:numId w:val="7"/>
        </w:numPr>
        <w:shd w:val="clear" w:color="auto" w:fill="auto"/>
        <w:tabs>
          <w:tab w:pos="107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По результатам рассмотрения жалобы в действиях заказчика - ГБУЗ РК «Печорская ЦРБ» нарушения законодательства Российской Федерации о контрактной системе в сфере закупок при описании объекта закупки, не подтверждены.</w:t>
      </w:r>
    </w:p>
    <w:p>
      <w:pPr>
        <w:pStyle w:val="Style14"/>
        <w:keepNext w:val="0"/>
        <w:keepLines w:val="0"/>
        <w:widowControl w:val="0"/>
        <w:numPr>
          <w:ilvl w:val="0"/>
          <w:numId w:val="7"/>
        </w:numPr>
        <w:shd w:val="clear" w:color="auto" w:fill="auto"/>
        <w:tabs>
          <w:tab w:pos="1078" w:val="left"/>
        </w:tabs>
        <w:bidi w:val="0"/>
        <w:spacing w:before="0" w:after="260" w:line="240" w:lineRule="auto"/>
        <w:ind w:left="0" w:right="0" w:firstLine="720"/>
        <w:jc w:val="both"/>
      </w:pPr>
      <w:r>
        <w:rPr>
          <w:color w:val="000000"/>
          <w:spacing w:val="0"/>
          <w:w w:val="100"/>
          <w:position w:val="0"/>
          <w:shd w:val="clear" w:color="auto" w:fill="auto"/>
          <w:lang w:val="ru-RU" w:eastAsia="ru-RU" w:bidi="ru-RU"/>
        </w:rPr>
        <w:t>С учетом того, что нарушения законодательства Российской Федерации о контрактной системе в сфере закупок при описании объекта закупки отсутствуют, предписание не выдавать.</w:t>
      </w:r>
    </w:p>
    <w:p>
      <w:pPr>
        <w:pStyle w:val="Style14"/>
        <w:keepNext w:val="0"/>
        <w:keepLines w:val="0"/>
        <w:widowControl w:val="0"/>
        <w:shd w:val="clear" w:color="auto" w:fill="auto"/>
        <w:bidi w:val="0"/>
        <w:spacing w:before="0" w:after="540" w:line="240" w:lineRule="auto"/>
        <w:ind w:left="0" w:right="0" w:firstLine="820"/>
        <w:jc w:val="both"/>
      </w:pPr>
      <w:r>
        <w:rPr>
          <w:color w:val="000000"/>
          <w:spacing w:val="0"/>
          <w:w w:val="100"/>
          <w:position w:val="0"/>
          <w:shd w:val="clear" w:color="auto" w:fill="auto"/>
          <w:lang w:val="ru-RU" w:eastAsia="ru-RU" w:bidi="ru-RU"/>
        </w:rPr>
        <w:t>Согласно части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14"/>
        <w:keepNext w:val="0"/>
        <w:keepLines w:val="0"/>
        <w:widowControl w:val="0"/>
        <w:shd w:val="clear" w:color="auto" w:fill="auto"/>
        <w:tabs>
          <w:tab w:leader="hyphen" w:pos="6466" w:val="left"/>
        </w:tabs>
        <w:bidi w:val="0"/>
        <w:spacing w:before="0" w:after="0" w:line="223" w:lineRule="auto"/>
        <w:ind w:left="0" w:right="0" w:firstLine="0"/>
        <w:jc w:val="left"/>
        <w:rPr>
          <w:sz w:val="28"/>
          <w:szCs w:val="28"/>
        </w:rPr>
      </w:pPr>
      <w:r>
        <mc:AlternateContent>
          <mc:Choice Requires="wps">
            <w:drawing>
              <wp:anchor distT="0" distB="0" distL="114300" distR="114300" simplePos="0" relativeHeight="125829384" behindDoc="0" locked="0" layoutInCell="1" allowOverlap="1">
                <wp:simplePos x="0" y="0"/>
                <wp:positionH relativeFrom="page">
                  <wp:posOffset>3074035</wp:posOffset>
                </wp:positionH>
                <wp:positionV relativeFrom="paragraph">
                  <wp:posOffset>203200</wp:posOffset>
                </wp:positionV>
                <wp:extent cx="1725295" cy="255905"/>
                <wp:wrapTopAndBottom/>
                <wp:docPr id="15" name="Shape 1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1" type="#_x0000_t202" style="position:absolute;margin-left:242.05000000000001pt;margin-top:16.pt;width:135.84999999999999pt;height:20.150000000000002pt;z-index:-125829369;mso-wrap-distance-left:9.pt;mso-wrap-distance-right:9.pt;mso-position-horizontal-relative:page" filled="f" stroked="f">
                <v:textbox inset="0,0,0,0">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0" distB="127000" distL="114300" distR="114300" simplePos="0" relativeHeight="125829386" behindDoc="0" locked="0" layoutInCell="1" allowOverlap="1">
                <wp:simplePos x="0" y="0"/>
                <wp:positionH relativeFrom="page">
                  <wp:posOffset>6142990</wp:posOffset>
                </wp:positionH>
                <wp:positionV relativeFrom="paragraph">
                  <wp:posOffset>228600</wp:posOffset>
                </wp:positionV>
                <wp:extent cx="1048385" cy="252730"/>
                <wp:wrapTopAndBottom/>
                <wp:docPr id="17" name="Shape 17"/>
                <a:graphic xmlns:a="http://schemas.openxmlformats.org/drawingml/2006/main">
                  <a:graphicData uri="http://schemas.microsoft.com/office/word/2010/wordprocessingShape">
                    <wps:wsp>
                      <wps:cNvSpPr txBox="1"/>
                      <wps:spPr>
                        <a:xfrm>
                          <a:ext cx="1048385" cy="2527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О.И. Дейберт</w:t>
                            </w:r>
                          </w:p>
                        </w:txbxContent>
                      </wps:txbx>
                      <wps:bodyPr wrap="none" lIns="0" tIns="0" rIns="0" bIns="0">
                        <a:noAutoFit/>
                      </wps:bodyPr>
                    </wps:wsp>
                  </a:graphicData>
                </a:graphic>
              </wp:anchor>
            </w:drawing>
          </mc:Choice>
          <mc:Fallback>
            <w:pict>
              <v:shape id="_x0000_s1043" type="#_x0000_t202" style="position:absolute;margin-left:483.69999999999999pt;margin-top:18.pt;width:82.549999999999997pt;height:19.900000000000002pt;z-index:-125829367;mso-wrap-distance-left:9.pt;mso-wrap-distance-right:9.pt;mso-wrap-distance-bottom:10.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О.И. Дейберт</w:t>
                      </w:r>
                    </w:p>
                  </w:txbxContent>
                </v:textbox>
                <w10:wrap type="topAndBottom" anchorx="page"/>
              </v:shape>
            </w:pict>
          </mc:Fallback>
        </mc:AlternateContent>
      </w:r>
      <w:r>
        <w:rPr>
          <w:color w:val="000000"/>
          <w:spacing w:val="0"/>
          <w:w w:val="100"/>
          <w:position w:val="0"/>
          <w:sz w:val="28"/>
          <w:szCs w:val="28"/>
          <w:shd w:val="clear" w:color="auto" w:fill="auto"/>
          <w:lang w:val="ru-RU" w:eastAsia="ru-RU" w:bidi="ru-RU"/>
        </w:rPr>
        <w:t xml:space="preserve">Председатель комиссии </w:t>
      </w:r>
      <w:r>
        <w:rPr>
          <w:i/>
          <w:iCs/>
          <w:color w:val="000000"/>
          <w:spacing w:val="0"/>
          <w:w w:val="100"/>
          <w:position w:val="0"/>
          <w:sz w:val="28"/>
          <w:szCs w:val="28"/>
          <w:shd w:val="clear" w:color="auto" w:fill="auto"/>
          <w:lang w:val="ru-RU" w:eastAsia="ru-RU" w:bidi="ru-RU"/>
        </w:rPr>
        <w:t>г~—</w:t>
        <w:tab/>
      </w:r>
    </w:p>
    <w:p>
      <w:pPr>
        <w:pStyle w:val="Style29"/>
        <w:keepNext w:val="0"/>
        <w:keepLines w:val="0"/>
        <w:widowControl w:val="0"/>
        <w:shd w:val="clear" w:color="auto" w:fill="auto"/>
        <w:bidi w:val="0"/>
        <w:spacing w:before="100" w:after="0" w:line="240" w:lineRule="auto"/>
        <w:ind w:right="0" w:firstLine="0"/>
        <w:jc w:val="both"/>
        <w:rPr>
          <w:sz w:val="11"/>
          <w:szCs w:val="11"/>
        </w:rPr>
      </w:pPr>
      <w:r>
        <w:rPr>
          <w:color w:val="6A6A6A"/>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Дейберт Ольга Ивановна</w:t>
      </w:r>
    </w:p>
    <w:p>
      <w:pPr>
        <w:pStyle w:val="Style29"/>
        <w:keepNext w:val="0"/>
        <w:keepLines w:val="0"/>
        <w:widowControl w:val="0"/>
        <w:shd w:val="clear" w:color="auto" w:fill="auto"/>
        <w:bidi w:val="0"/>
        <w:spacing w:before="0" w:after="0" w:line="240" w:lineRule="auto"/>
        <w:ind w:right="0" w:firstLine="0"/>
        <w:jc w:val="both"/>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47ВЕ956094А2653С447Е267327825004</w:t>
      </w:r>
    </w:p>
    <w:p>
      <w:pPr>
        <w:pStyle w:val="Style29"/>
        <w:keepNext w:val="0"/>
        <w:keepLines w:val="0"/>
        <w:widowControl w:val="0"/>
        <w:shd w:val="clear" w:color="auto" w:fill="auto"/>
        <w:bidi w:val="0"/>
        <w:spacing w:before="0" w:after="160" w:line="240" w:lineRule="auto"/>
        <w:ind w:right="0" w:firstLine="0"/>
        <w:jc w:val="both"/>
      </w:pPr>
      <w:r>
        <w:rPr>
          <w:color w:val="6A6A6A"/>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10.06.2024 по </w:t>
      </w:r>
      <w:r>
        <w:rPr>
          <w:color w:val="6A6A6A"/>
          <w:spacing w:val="0"/>
          <w:w w:val="100"/>
          <w:position w:val="0"/>
          <w:shd w:val="clear" w:color="auto" w:fill="auto"/>
          <w:lang w:val="ru-RU" w:eastAsia="ru-RU" w:bidi="ru-RU"/>
        </w:rPr>
        <w:t>03.09.2025</w:t>
      </w:r>
    </w:p>
    <w:p>
      <w:pPr>
        <w:pStyle w:val="Style14"/>
        <w:keepNext w:val="0"/>
        <w:keepLines w:val="0"/>
        <w:widowControl w:val="0"/>
        <w:shd w:val="clear" w:color="auto" w:fill="auto"/>
        <w:bidi w:val="0"/>
        <w:spacing w:before="0" w:after="0" w:line="240" w:lineRule="auto"/>
        <w:ind w:left="0" w:right="0" w:firstLine="0"/>
        <w:jc w:val="both"/>
        <w:rPr>
          <w:sz w:val="28"/>
          <w:szCs w:val="28"/>
        </w:rPr>
      </w:pPr>
      <w:r>
        <w:rPr>
          <w:color w:val="000000"/>
          <w:spacing w:val="0"/>
          <w:w w:val="100"/>
          <w:position w:val="0"/>
          <w:sz w:val="28"/>
          <w:szCs w:val="28"/>
          <w:shd w:val="clear" w:color="auto" w:fill="auto"/>
          <w:lang w:val="ru-RU" w:eastAsia="ru-RU" w:bidi="ru-RU"/>
        </w:rPr>
        <w:t>Члены комиссии:</w:t>
      </w:r>
    </w:p>
    <w:p>
      <w:pPr>
        <w:widowControl w:val="0"/>
        <w:spacing w:line="1" w:lineRule="exact"/>
        <w:sectPr>
          <w:footnotePr>
            <w:pos w:val="pageBottom"/>
            <w:numFmt w:val="decimal"/>
            <w:numRestart w:val="continuous"/>
          </w:footnotePr>
          <w:type w:val="continuous"/>
          <w:pgSz w:w="11900" w:h="16840"/>
          <w:pgMar w:top="1139" w:right="534" w:bottom="964" w:left="1099" w:header="0" w:footer="3" w:gutter="0"/>
          <w:cols w:space="720"/>
          <w:noEndnote/>
          <w:rtlGutter w:val="0"/>
          <w:docGrid w:linePitch="360"/>
        </w:sectPr>
      </w:pPr>
      <w:r>
        <mc:AlternateContent>
          <mc:Choice Requires="wps">
            <w:drawing>
              <wp:anchor distT="143510" distB="0" distL="0" distR="0" simplePos="0" relativeHeight="125829388" behindDoc="0" locked="0" layoutInCell="1" allowOverlap="1">
                <wp:simplePos x="0" y="0"/>
                <wp:positionH relativeFrom="page">
                  <wp:posOffset>3168015</wp:posOffset>
                </wp:positionH>
                <wp:positionV relativeFrom="paragraph">
                  <wp:posOffset>143510</wp:posOffset>
                </wp:positionV>
                <wp:extent cx="1725295" cy="255905"/>
                <wp:wrapTopAndBottom/>
                <wp:docPr id="19" name="Shape 1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49.45000000000002pt;margin-top:11.300000000000001pt;width:135.84999999999999pt;height:20.150000000000002pt;z-index:-125829365;mso-wrap-distance-left:0;mso-wrap-distance-top:11.300000000000001pt;mso-wrap-distance-right:0;mso-position-horizontal-relative:page" filled="f" stroked="f">
                <v:textbox inset="0,0,0,0">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0" distB="146685" distL="0" distR="0" simplePos="0" relativeHeight="125829390" behindDoc="0" locked="0" layoutInCell="1" allowOverlap="1">
                <wp:simplePos x="0" y="0"/>
                <wp:positionH relativeFrom="page">
                  <wp:posOffset>5999480</wp:posOffset>
                </wp:positionH>
                <wp:positionV relativeFrom="paragraph">
                  <wp:posOffset>0</wp:posOffset>
                </wp:positionV>
                <wp:extent cx="1185545" cy="252730"/>
                <wp:wrapTopAndBottom/>
                <wp:docPr id="21" name="Shape 21"/>
                <a:graphic xmlns:a="http://schemas.openxmlformats.org/drawingml/2006/main">
                  <a:graphicData uri="http://schemas.microsoft.com/office/word/2010/wordprocessingShape">
                    <wps:wsp>
                      <wps:cNvSpPr txBox="1"/>
                      <wps:spPr>
                        <a:xfrm>
                          <a:ext cx="1185545" cy="2527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А.А. Мокиенко</w:t>
                            </w:r>
                          </w:p>
                        </w:txbxContent>
                      </wps:txbx>
                      <wps:bodyPr wrap="none" lIns="0" tIns="0" rIns="0" bIns="0">
                        <a:noAutoFit/>
                      </wps:bodyPr>
                    </wps:wsp>
                  </a:graphicData>
                </a:graphic>
              </wp:anchor>
            </w:drawing>
          </mc:Choice>
          <mc:Fallback>
            <w:pict>
              <v:shape id="_x0000_s1047" type="#_x0000_t202" style="position:absolute;margin-left:472.40000000000003pt;margin-top:0;width:93.350000000000009pt;height:19.900000000000002pt;z-index:-125829363;mso-wrap-distance-left:0;mso-wrap-distance-right:0;mso-wrap-distance-bottom:11.55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А.А. Мокиенко</w:t>
                      </w:r>
                    </w:p>
                  </w:txbxContent>
                </v:textbox>
                <w10:wrap type="topAndBottom" anchorx="page"/>
              </v:shape>
            </w:pict>
          </mc:Fallback>
        </mc:AlternateContent>
      </w:r>
    </w:p>
    <w:p>
      <w:pPr>
        <w:widowControl w:val="0"/>
        <w:spacing w:line="200" w:lineRule="exact"/>
        <w:rPr>
          <w:sz w:val="16"/>
          <w:szCs w:val="16"/>
        </w:rPr>
      </w:pPr>
    </w:p>
    <w:p>
      <w:pPr>
        <w:widowControl w:val="0"/>
        <w:spacing w:line="1" w:lineRule="exact"/>
        <w:sectPr>
          <w:footnotePr>
            <w:pos w:val="pageBottom"/>
            <w:numFmt w:val="decimal"/>
            <w:numRestart w:val="continuous"/>
          </w:footnotePr>
          <w:type w:val="continuous"/>
          <w:pgSz w:w="11900" w:h="16840"/>
          <w:pgMar w:top="1666" w:right="0" w:bottom="1484" w:left="0" w:header="0" w:footer="3" w:gutter="0"/>
          <w:cols w:space="720"/>
          <w:noEndnote/>
          <w:rtlGutter w:val="0"/>
          <w:docGrid w:linePitch="360"/>
        </w:sectPr>
      </w:pPr>
    </w:p>
    <w:p>
      <w:pPr>
        <w:pStyle w:val="Style29"/>
        <w:keepNext w:val="0"/>
        <w:keepLines w:val="0"/>
        <w:widowControl w:val="0"/>
        <w:shd w:val="clear" w:color="auto" w:fill="auto"/>
        <w:bidi w:val="0"/>
        <w:spacing w:before="0" w:after="0" w:line="240" w:lineRule="auto"/>
        <w:ind w:left="3260" w:right="0" w:firstLine="0"/>
        <w:jc w:val="left"/>
        <w:rPr>
          <w:sz w:val="11"/>
          <w:szCs w:val="11"/>
        </w:rPr>
      </w:pPr>
      <w:r>
        <w:rPr>
          <w:color w:val="6A6A6A"/>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Мокиенко Анастасия Александровна</w:t>
      </w:r>
    </w:p>
    <w:p>
      <w:pPr>
        <w:pStyle w:val="Style29"/>
        <w:keepNext w:val="0"/>
        <w:keepLines w:val="0"/>
        <w:widowControl w:val="0"/>
        <w:shd w:val="clear" w:color="auto" w:fill="auto"/>
        <w:bidi w:val="0"/>
        <w:spacing w:before="0" w:after="0" w:line="240" w:lineRule="auto"/>
        <w:ind w:left="3260"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5740В06С3000758Е050638ВЕ6СА058С1</w:t>
      </w:r>
    </w:p>
    <w:p>
      <w:pPr>
        <w:pStyle w:val="Style29"/>
        <w:keepNext w:val="0"/>
        <w:keepLines w:val="0"/>
        <w:widowControl w:val="0"/>
        <w:shd w:val="clear" w:color="auto" w:fill="auto"/>
        <w:bidi w:val="0"/>
        <w:spacing w:before="0" w:after="0" w:line="240" w:lineRule="auto"/>
        <w:ind w:left="3260" w:right="0" w:firstLine="0"/>
        <w:jc w:val="left"/>
      </w:pPr>
      <w:r>
        <w:rPr>
          <w:color w:val="6A6A6A"/>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6A6A6A"/>
          <w:spacing w:val="0"/>
          <w:w w:val="100"/>
          <w:position w:val="0"/>
          <w:shd w:val="clear" w:color="auto" w:fill="auto"/>
          <w:lang w:val="ru-RU" w:eastAsia="ru-RU" w:bidi="ru-RU"/>
        </w:rPr>
        <w:t>25.12.2023 по 19.03.2025</w:t>
      </w:r>
    </w:p>
    <w:p>
      <w:pPr>
        <w:widowControl w:val="0"/>
        <w:spacing w:line="1" w:lineRule="exact"/>
        <w:sectPr>
          <w:footnotePr>
            <w:pos w:val="pageBottom"/>
            <w:numFmt w:val="decimal"/>
            <w:numRestart w:val="continuous"/>
          </w:footnotePr>
          <w:type w:val="continuous"/>
          <w:pgSz w:w="11900" w:h="16840"/>
          <w:pgMar w:top="1666" w:right="541" w:bottom="1484" w:left="1106" w:header="0" w:footer="3" w:gutter="0"/>
          <w:cols w:space="720"/>
          <w:noEndnote/>
          <w:rtlGutter w:val="0"/>
          <w:docGrid w:linePitch="360"/>
        </w:sectPr>
      </w:pPr>
      <w:r>
        <mc:AlternateContent>
          <mc:Choice Requires="wps">
            <w:drawing>
              <wp:anchor distT="275590" distB="635" distL="0" distR="0" simplePos="0" relativeHeight="125829392" behindDoc="0" locked="0" layoutInCell="1" allowOverlap="1">
                <wp:simplePos x="0" y="0"/>
                <wp:positionH relativeFrom="page">
                  <wp:posOffset>3074035</wp:posOffset>
                </wp:positionH>
                <wp:positionV relativeFrom="paragraph">
                  <wp:posOffset>275590</wp:posOffset>
                </wp:positionV>
                <wp:extent cx="1725295" cy="255905"/>
                <wp:wrapTopAndBottom/>
                <wp:docPr id="23" name="Shape 2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42.05000000000001pt;margin-top:21.699999999999999pt;width:135.84999999999999pt;height:20.150000000000002pt;z-index:-125829361;mso-wrap-distance-left:0;mso-wrap-distance-top:21.699999999999999pt;mso-wrap-distance-right:0;mso-wrap-distance-bottom:5.0000000000000003e-002pt;mso-position-horizontal-relative:page" filled="f" stroked="f">
                <v:textbox inset="0,0,0,0">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114300" distB="167640" distL="0" distR="0" simplePos="0" relativeHeight="125829394" behindDoc="0" locked="0" layoutInCell="1" allowOverlap="1">
                <wp:simplePos x="0" y="0"/>
                <wp:positionH relativeFrom="page">
                  <wp:posOffset>6128385</wp:posOffset>
                </wp:positionH>
                <wp:positionV relativeFrom="paragraph">
                  <wp:posOffset>114300</wp:posOffset>
                </wp:positionV>
                <wp:extent cx="1063625" cy="250190"/>
                <wp:wrapTopAndBottom/>
                <wp:docPr id="25" name="Shape 25"/>
                <a:graphic xmlns:a="http://schemas.openxmlformats.org/drawingml/2006/main">
                  <a:graphicData uri="http://schemas.microsoft.com/office/word/2010/wordprocessingShape">
                    <wps:wsp>
                      <wps:cNvSpPr txBox="1"/>
                      <wps:spPr>
                        <a:xfrm>
                          <a:ext cx="1063625" cy="25019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center"/>
                              <w:rPr>
                                <w:sz w:val="28"/>
                                <w:szCs w:val="28"/>
                              </w:rPr>
                            </w:pPr>
                            <w:r>
                              <w:rPr>
                                <w:color w:val="000000"/>
                                <w:spacing w:val="0"/>
                                <w:w w:val="100"/>
                                <w:position w:val="0"/>
                                <w:sz w:val="28"/>
                                <w:szCs w:val="28"/>
                                <w:shd w:val="clear" w:color="auto" w:fill="auto"/>
                                <w:lang w:val="ru-RU" w:eastAsia="ru-RU" w:bidi="ru-RU"/>
                              </w:rPr>
                              <w:t>А.В. Оверина</w:t>
                            </w:r>
                          </w:p>
                        </w:txbxContent>
                      </wps:txbx>
                      <wps:bodyPr wrap="none" lIns="0" tIns="0" rIns="0" bIns="0">
                        <a:noAutoFit/>
                      </wps:bodyPr>
                    </wps:wsp>
                  </a:graphicData>
                </a:graphic>
              </wp:anchor>
            </w:drawing>
          </mc:Choice>
          <mc:Fallback>
            <w:pict>
              <v:shape id="_x0000_s1051" type="#_x0000_t202" style="position:absolute;margin-left:482.55000000000001pt;margin-top:9.pt;width:83.75pt;height:19.699999999999999pt;z-index:-125829359;mso-wrap-distance-left:0;mso-wrap-distance-top:9.pt;mso-wrap-distance-right:0;mso-wrap-distance-bottom:13.20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center"/>
                        <w:rPr>
                          <w:sz w:val="28"/>
                          <w:szCs w:val="28"/>
                        </w:rPr>
                      </w:pPr>
                      <w:r>
                        <w:rPr>
                          <w:color w:val="000000"/>
                          <w:spacing w:val="0"/>
                          <w:w w:val="100"/>
                          <w:position w:val="0"/>
                          <w:sz w:val="28"/>
                          <w:szCs w:val="28"/>
                          <w:shd w:val="clear" w:color="auto" w:fill="auto"/>
                          <w:lang w:val="ru-RU" w:eastAsia="ru-RU" w:bidi="ru-RU"/>
                        </w:rPr>
                        <w:t>А.В. Оверина</w:t>
                      </w:r>
                    </w:p>
                  </w:txbxContent>
                </v:textbox>
                <w10:wrap type="topAndBottom" anchorx="page"/>
              </v:shape>
            </w:pict>
          </mc:Fallback>
        </mc:AlternateContent>
      </w:r>
    </w:p>
    <w:p>
      <w:pPr>
        <w:widowControl w:val="0"/>
        <w:spacing w:before="5" w:after="5"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666" w:right="0" w:bottom="1484" w:left="0" w:header="0" w:footer="3" w:gutter="0"/>
          <w:cols w:space="720"/>
          <w:noEndnote/>
          <w:rtlGutter w:val="0"/>
          <w:docGrid w:linePitch="360"/>
        </w:sectPr>
      </w:pPr>
    </w:p>
    <w:p>
      <w:pPr>
        <w:pStyle w:val="Style29"/>
        <w:keepNext w:val="0"/>
        <w:keepLines w:val="0"/>
        <w:widowControl w:val="0"/>
        <w:shd w:val="clear" w:color="auto" w:fill="auto"/>
        <w:bidi w:val="0"/>
        <w:spacing w:before="0" w:after="0" w:line="240" w:lineRule="auto"/>
        <w:ind w:right="0" w:firstLine="0"/>
        <w:jc w:val="left"/>
        <w:rPr>
          <w:sz w:val="11"/>
          <w:szCs w:val="11"/>
        </w:rPr>
      </w:pPr>
      <w:r>
        <w:rPr>
          <w:color w:val="6A6A6A"/>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Оверина Анна Владимировна</w:t>
      </w:r>
    </w:p>
    <w:p>
      <w:pPr>
        <w:pStyle w:val="Style29"/>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008А5031677Е920А65Е043ЕАЕ5В626607А</w:t>
      </w:r>
    </w:p>
    <w:p>
      <w:pPr>
        <w:pStyle w:val="Style29"/>
        <w:keepNext w:val="0"/>
        <w:keepLines w:val="0"/>
        <w:widowControl w:val="0"/>
        <w:shd w:val="clear" w:color="auto" w:fill="auto"/>
        <w:bidi w:val="0"/>
        <w:spacing w:before="0" w:after="0" w:line="240" w:lineRule="auto"/>
        <w:ind w:right="0" w:firstLine="0"/>
        <w:jc w:val="left"/>
      </w:pPr>
      <w:r>
        <w:rPr>
          <w:color w:val="6A6A6A"/>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16.07.2024 </w:t>
      </w:r>
      <w:r>
        <w:rPr>
          <w:color w:val="000000"/>
          <w:spacing w:val="0"/>
          <w:w w:val="100"/>
          <w:position w:val="0"/>
          <w:shd w:val="clear" w:color="auto" w:fill="auto"/>
          <w:lang w:val="ru-RU" w:eastAsia="ru-RU" w:bidi="ru-RU"/>
        </w:rPr>
        <w:t xml:space="preserve">по </w:t>
      </w:r>
      <w:r>
        <w:rPr>
          <w:color w:val="6A6A6A"/>
          <w:spacing w:val="0"/>
          <w:w w:val="100"/>
          <w:position w:val="0"/>
          <w:shd w:val="clear" w:color="auto" w:fill="auto"/>
          <w:lang w:val="ru-RU" w:eastAsia="ru-RU" w:bidi="ru-RU"/>
        </w:rPr>
        <w:t>09.10.2025</w:t>
      </w:r>
    </w:p>
    <w:sectPr>
      <w:footnotePr>
        <w:pos w:val="pageBottom"/>
        <w:numFmt w:val="decimal"/>
        <w:numRestart w:val="continuous"/>
      </w:footnotePr>
      <w:type w:val="continuous"/>
      <w:pgSz w:w="11900" w:h="16840"/>
      <w:pgMar w:top="1666" w:right="541" w:bottom="1484"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725170</wp:posOffset>
              </wp:positionH>
              <wp:positionV relativeFrom="page">
                <wp:posOffset>9979025</wp:posOffset>
              </wp:positionV>
              <wp:extent cx="648970" cy="100330"/>
              <wp:wrapNone/>
              <wp:docPr id="5" name="Shape 5"/>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2024-6330</w:t>
                          </w:r>
                        </w:p>
                      </w:txbxContent>
                    </wps:txbx>
                    <wps:bodyPr wrap="none" lIns="0" tIns="0" rIns="0" bIns="0">
                      <a:spAutoFit/>
                    </wps:bodyPr>
                  </wps:wsp>
                </a:graphicData>
              </a:graphic>
            </wp:anchor>
          </w:drawing>
        </mc:Choice>
        <mc:Fallback>
          <w:pict>
            <v:shape id="_x0000_s1031" type="#_x0000_t202" style="position:absolute;margin-left:57.100000000000001pt;margin-top:785.7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2024-6330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9857740</wp:posOffset>
              </wp:positionV>
              <wp:extent cx="648970" cy="100330"/>
              <wp:wrapNone/>
              <wp:docPr id="7" name="Shape 7"/>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2024-6330</w:t>
                          </w:r>
                        </w:p>
                      </w:txbxContent>
                    </wps:txbx>
                    <wps:bodyPr wrap="none" lIns="0" tIns="0" rIns="0" bIns="0">
                      <a:spAutoFit/>
                    </wps:bodyPr>
                  </wps:wsp>
                </a:graphicData>
              </a:graphic>
            </wp:anchor>
          </w:drawing>
        </mc:Choice>
        <mc:Fallback>
          <w:pict>
            <v:shape id="_x0000_s1033" type="#_x0000_t202" style="position:absolute;margin-left:57.pt;margin-top:776.20000000000005pt;width:51.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2024-6330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3902710</wp:posOffset>
              </wp:positionH>
              <wp:positionV relativeFrom="page">
                <wp:posOffset>720725</wp:posOffset>
              </wp:positionV>
              <wp:extent cx="128270" cy="106680"/>
              <wp:wrapNone/>
              <wp:docPr id="3" name="Shape 3"/>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7.30000000000001pt;margin-top:56.75pt;width:10.1pt;height:8.4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333333"/>
        <w:spacing w:val="0"/>
        <w:w w:val="100"/>
        <w:position w:val="0"/>
        <w:sz w:val="26"/>
        <w:szCs w:val="26"/>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4)_"/>
    <w:basedOn w:val="DefaultParagraphFont"/>
    <w:link w:val="Style2"/>
    <w:rPr>
      <w:rFonts w:ascii="Times New Roman" w:eastAsia="Times New Roman" w:hAnsi="Times New Roman" w:cs="Times New Roman"/>
      <w:b w:val="0"/>
      <w:bCs w:val="0"/>
      <w:i w:val="0"/>
      <w:iCs w:val="0"/>
      <w:smallCaps w:val="0"/>
      <w:strike w:val="0"/>
      <w:color w:val="46619A"/>
      <w:sz w:val="16"/>
      <w:szCs w:val="16"/>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 (5)_"/>
    <w:basedOn w:val="DefaultParagraphFont"/>
    <w:link w:val="Style8"/>
    <w:rPr>
      <w:rFonts w:ascii="Times New Roman" w:eastAsia="Times New Roman" w:hAnsi="Times New Roman" w:cs="Times New Roman"/>
      <w:b/>
      <w:bCs/>
      <w:i w:val="0"/>
      <w:iCs w:val="0"/>
      <w:smallCaps w:val="0"/>
      <w:strike w:val="0"/>
      <w:color w:val="46619A"/>
      <w:sz w:val="19"/>
      <w:szCs w:val="19"/>
      <w:u w:val="none"/>
    </w:rPr>
  </w:style>
  <w:style w:type="character" w:customStyle="1" w:styleId="CharStyle11">
    <w:name w:val="Основной текст (6)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5">
    <w:name w:val="Основной текст_"/>
    <w:basedOn w:val="DefaultParagraphFont"/>
    <w:link w:val="Style14"/>
    <w:rPr>
      <w:rFonts w:ascii="Times New Roman" w:eastAsia="Times New Roman" w:hAnsi="Times New Roman" w:cs="Times New Roman"/>
      <w:b w:val="0"/>
      <w:bCs w:val="0"/>
      <w:i w:val="0"/>
      <w:iCs w:val="0"/>
      <w:smallCaps w:val="0"/>
      <w:strike w:val="0"/>
      <w:sz w:val="26"/>
      <w:szCs w:val="26"/>
      <w:u w:val="none"/>
    </w:rPr>
  </w:style>
  <w:style w:type="character" w:customStyle="1" w:styleId="CharStyle18">
    <w:name w:val="Основной текст (3)_"/>
    <w:basedOn w:val="DefaultParagraphFont"/>
    <w:link w:val="Style17"/>
    <w:rPr>
      <w:rFonts w:ascii="Times New Roman" w:eastAsia="Times New Roman" w:hAnsi="Times New Roman" w:cs="Times New Roman"/>
      <w:b w:val="0"/>
      <w:bCs w:val="0"/>
      <w:i w:val="0"/>
      <w:iCs w:val="0"/>
      <w:smallCaps w:val="0"/>
      <w:strike w:val="0"/>
      <w:color w:val="333333"/>
      <w:sz w:val="12"/>
      <w:szCs w:val="12"/>
      <w:u w:val="none"/>
    </w:rPr>
  </w:style>
  <w:style w:type="character" w:customStyle="1" w:styleId="CharStyle22">
    <w:name w:val="Заголовок №1_"/>
    <w:basedOn w:val="DefaultParagraphFont"/>
    <w:link w:val="Style21"/>
    <w:rPr>
      <w:rFonts w:ascii="Times New Roman" w:eastAsia="Times New Roman" w:hAnsi="Times New Roman" w:cs="Times New Roman"/>
      <w:b w:val="0"/>
      <w:bCs w:val="0"/>
      <w:i w:val="0"/>
      <w:iCs w:val="0"/>
      <w:smallCaps w:val="0"/>
      <w:strike w:val="0"/>
      <w:sz w:val="26"/>
      <w:szCs w:val="26"/>
      <w:u w:val="none"/>
    </w:rPr>
  </w:style>
  <w:style w:type="character" w:customStyle="1" w:styleId="CharStyle30">
    <w:name w:val="Основной текст (2)_"/>
    <w:basedOn w:val="DefaultParagraphFont"/>
    <w:link w:val="Style29"/>
    <w:rPr>
      <w:rFonts w:ascii="Arial" w:eastAsia="Arial" w:hAnsi="Arial" w:cs="Arial"/>
      <w:b w:val="0"/>
      <w:bCs w:val="0"/>
      <w:i w:val="0"/>
      <w:iCs w:val="0"/>
      <w:smallCaps w:val="0"/>
      <w:strike w:val="0"/>
      <w:color w:val="333333"/>
      <w:sz w:val="12"/>
      <w:szCs w:val="12"/>
      <w:u w:val="none"/>
    </w:rPr>
  </w:style>
  <w:style w:type="paragraph" w:customStyle="1" w:styleId="Style2">
    <w:name w:val="Основной текст (4)"/>
    <w:basedOn w:val="Normal"/>
    <w:link w:val="CharStyle3"/>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46619A"/>
      <w:sz w:val="16"/>
      <w:szCs w:val="16"/>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5)"/>
    <w:basedOn w:val="Normal"/>
    <w:link w:val="CharStyle9"/>
    <w:pPr>
      <w:widowControl w:val="0"/>
      <w:shd w:val="clear" w:color="auto" w:fill="auto"/>
      <w:spacing w:after="240" w:line="257" w:lineRule="auto"/>
      <w:jc w:val="center"/>
    </w:pPr>
    <w:rPr>
      <w:rFonts w:ascii="Times New Roman" w:eastAsia="Times New Roman" w:hAnsi="Times New Roman" w:cs="Times New Roman"/>
      <w:b/>
      <w:bCs/>
      <w:i w:val="0"/>
      <w:iCs w:val="0"/>
      <w:smallCaps w:val="0"/>
      <w:strike w:val="0"/>
      <w:color w:val="46619A"/>
      <w:sz w:val="19"/>
      <w:szCs w:val="19"/>
      <w:u w:val="none"/>
    </w:rPr>
  </w:style>
  <w:style w:type="paragraph" w:customStyle="1" w:styleId="Style10">
    <w:name w:val="Основной текст (6)"/>
    <w:basedOn w:val="Normal"/>
    <w:link w:val="CharStyle11"/>
    <w:pPr>
      <w:widowControl w:val="0"/>
      <w:shd w:val="clear" w:color="auto" w:fill="auto"/>
      <w:spacing w:after="340" w:line="233" w:lineRule="auto"/>
      <w:jc w:val="center"/>
    </w:pPr>
    <w:rPr>
      <w:rFonts w:ascii="Times New Roman" w:eastAsia="Times New Roman" w:hAnsi="Times New Roman" w:cs="Times New Roman"/>
      <w:b w:val="0"/>
      <w:bCs w:val="0"/>
      <w:i w:val="0"/>
      <w:iCs w:val="0"/>
      <w:smallCaps w:val="0"/>
      <w:strike w:val="0"/>
      <w:sz w:val="30"/>
      <w:szCs w:val="30"/>
      <w:u w:val="single"/>
    </w:rPr>
  </w:style>
  <w:style w:type="paragraph" w:customStyle="1" w:styleId="Style14">
    <w:name w:val="Основной текст"/>
    <w:basedOn w:val="Normal"/>
    <w:link w:val="CharStyle15"/>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7">
    <w:name w:val="Основной текст (3)"/>
    <w:basedOn w:val="Normal"/>
    <w:link w:val="CharStyle18"/>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333333"/>
      <w:sz w:val="12"/>
      <w:szCs w:val="12"/>
      <w:u w:val="none"/>
    </w:rPr>
  </w:style>
  <w:style w:type="paragraph" w:customStyle="1" w:styleId="Style21">
    <w:name w:val="Заголовок №1"/>
    <w:basedOn w:val="Normal"/>
    <w:link w:val="CharStyle22"/>
    <w:pPr>
      <w:widowControl w:val="0"/>
      <w:shd w:val="clear" w:color="auto" w:fill="auto"/>
      <w:ind w:firstLine="740"/>
      <w:outlineLvl w:val="0"/>
    </w:pPr>
    <w:rPr>
      <w:rFonts w:ascii="Times New Roman" w:eastAsia="Times New Roman" w:hAnsi="Times New Roman" w:cs="Times New Roman"/>
      <w:b w:val="0"/>
      <w:bCs w:val="0"/>
      <w:i w:val="0"/>
      <w:iCs w:val="0"/>
      <w:smallCaps w:val="0"/>
      <w:strike w:val="0"/>
      <w:sz w:val="26"/>
      <w:szCs w:val="26"/>
      <w:u w:val="none"/>
    </w:rPr>
  </w:style>
  <w:style w:type="paragraph" w:customStyle="1" w:styleId="Style29">
    <w:name w:val="Основной текст (2)"/>
    <w:basedOn w:val="Normal"/>
    <w:link w:val="CharStyle30"/>
    <w:pPr>
      <w:widowControl w:val="0"/>
      <w:shd w:val="clear" w:color="auto" w:fill="auto"/>
      <w:ind w:left="3100"/>
    </w:pPr>
    <w:rPr>
      <w:rFonts w:ascii="Arial" w:eastAsia="Arial" w:hAnsi="Arial" w:cs="Arial"/>
      <w:b w:val="0"/>
      <w:bCs w:val="0"/>
      <w:i w:val="0"/>
      <w:iCs w:val="0"/>
      <w:smallCaps w:val="0"/>
      <w:strike w:val="0"/>
      <w:color w:val="333333"/>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s>
</file>