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341630" cy="40830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341630" cy="408305"/>
                    </a:xfrm>
                    <a:prstGeom prst="rect"/>
                  </pic:spPr>
                </pic:pic>
              </a:graphicData>
            </a:graphic>
          </wp:inline>
        </w:drawing>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120" w:line="240" w:lineRule="auto"/>
        <w:ind w:left="0" w:right="0" w:firstLine="320"/>
        <w:jc w:val="left"/>
      </w:pPr>
      <w:r>
        <w:rPr>
          <w:color w:val="000000"/>
          <w:spacing w:val="0"/>
          <w:w w:val="100"/>
          <w:position w:val="0"/>
          <w:shd w:val="clear" w:color="auto" w:fill="auto"/>
          <w:lang w:val="ru-RU" w:eastAsia="ru-RU" w:bidi="ru-RU"/>
        </w:rPr>
        <w:t>Л11 Г ИМОИОПОЛЫ1ЛЯ СЛ УЖБА</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0"/>
        <w:ind w:left="0" w:right="0" w:firstLine="0"/>
        <w:jc w:val="center"/>
        <w:rPr>
          <w:sz w:val="9"/>
          <w:szCs w:val="9"/>
        </w:rPr>
      </w:pPr>
      <w:r>
        <w:rPr>
          <w:color w:val="000000"/>
          <w:spacing w:val="0"/>
          <w:w w:val="100"/>
          <w:position w:val="0"/>
          <w:sz w:val="13"/>
          <w:szCs w:val="13"/>
          <w:shd w:val="clear" w:color="auto" w:fill="auto"/>
          <w:lang w:val="ru-RU" w:eastAsia="ru-RU" w:bidi="ru-RU"/>
        </w:rPr>
        <w:t>Федеральной антимонопольной</w:t>
        <w:br/>
        <w:t>службы по Ханты-Мансийскому</w:t>
        <w:br/>
        <w:t>автономному окру! у - Югре</w:t>
        <w:br/>
        <w:t>ул. Мира, д. 27. Ханты-Мансийск, 628012</w:t>
        <w:br/>
        <w:t>тслсфон/факс +7 (346?) 38-80-81</w:t>
        <w:br/>
      </w:r>
      <w:r>
        <w:rPr>
          <w:rFonts w:ascii="Arial" w:eastAsia="Arial" w:hAnsi="Arial" w:cs="Arial"/>
          <w:color w:val="000000"/>
          <w:spacing w:val="0"/>
          <w:w w:val="100"/>
          <w:position w:val="0"/>
          <w:sz w:val="9"/>
          <w:szCs w:val="9"/>
          <w:shd w:val="clear" w:color="auto" w:fill="auto"/>
          <w:lang w:val="ru-RU" w:eastAsia="ru-RU" w:bidi="ru-RU"/>
        </w:rPr>
        <w:t>е-тзй; 1о86@1аз.§от.ги. сайт 1111р;#1ш1гоЛа$.&amp;оу.ги</w:t>
        <w:br/>
        <w:t>ИНН ШИ0И9316 КПП 860101001 ОГРН Н12ШЮ512093</w:t>
      </w:r>
    </w:p>
    <w:p>
      <w:pPr>
        <w:pStyle w:val="Style8"/>
        <w:keepNext/>
        <w:keepLines/>
        <w:widowControl w:val="0"/>
        <w:shd w:val="clear" w:color="auto" w:fill="auto"/>
        <w:bidi w:val="0"/>
        <w:spacing w:before="0"/>
        <w:ind w:left="0" w:right="0" w:firstLine="0"/>
        <w:jc w:val="right"/>
      </w:pPr>
      <w:bookmarkStart w:id="0" w:name="bookmark0"/>
      <w:r>
        <w:rPr>
          <w:color w:val="000000"/>
          <w:spacing w:val="0"/>
          <w:w w:val="100"/>
          <w:position w:val="0"/>
          <w:u w:val="none"/>
          <w:shd w:val="clear" w:color="auto" w:fill="auto"/>
          <w:lang w:val="ru-RU" w:eastAsia="ru-RU" w:bidi="ru-RU"/>
        </w:rPr>
        <w:t xml:space="preserve">№ </w:t>
      </w:r>
      <w:r>
        <w:rPr>
          <w:spacing w:val="0"/>
          <w:w w:val="100"/>
          <w:position w:val="0"/>
          <w:shd w:val="clear" w:color="auto" w:fill="auto"/>
          <w:lang w:val="ru-RU" w:eastAsia="ru-RU" w:bidi="ru-RU"/>
        </w:rPr>
        <w:t>Рь/сЧ&amp;з</w:t>
      </w:r>
      <w:r>
        <w:rPr>
          <w:spacing w:val="0"/>
          <w:w w:val="100"/>
          <w:position w:val="0"/>
          <w:u w:val="none"/>
          <w:shd w:val="clear" w:color="auto" w:fill="auto"/>
          <w:lang w:val="ru-RU" w:eastAsia="ru-RU" w:bidi="ru-RU"/>
        </w:rPr>
        <w:t>/зЧ</w:t>
      </w:r>
      <w:bookmarkEnd w:id="0"/>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На Хе  от</w:t>
      </w:r>
    </w:p>
    <w:p>
      <w:pPr>
        <w:pStyle w:val="Style12"/>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Оператор электронной площадки:</w:t>
      </w:r>
      <w:bookmarkEnd w:id="2"/>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"Сбербанк - АСТ"</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119435, г. Москва, Большой Саввинский</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переулок, д.12, стр.9</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 (495) 7872999/97 доб. 369, Факс: (495)</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7872998</w:t>
      </w:r>
    </w:p>
    <w:p>
      <w:pPr>
        <w:pStyle w:val="Style14"/>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е-таП: ко@8ЬегЬапк-а81.ги</w:t>
      </w:r>
    </w:p>
    <w:p>
      <w:pPr>
        <w:pStyle w:val="Style12"/>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Заявитель:</w:t>
      </w:r>
      <w:bookmarkEnd w:id="4"/>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Индивидуальный предприниматель</w:t>
      </w:r>
    </w:p>
    <w:p>
      <w:pPr>
        <w:pStyle w:val="Style14"/>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Кравченко Андрей Геннадьевич 628181, Ханты-Мансийский автономный округ — Югра, г. Нягань, 3 мкр., д. 6,кв. 127</w:t>
      </w:r>
    </w:p>
    <w:p>
      <w:pPr>
        <w:pStyle w:val="Style12"/>
        <w:keepNext/>
        <w:keepLines/>
        <w:widowControl w:val="0"/>
        <w:shd w:val="clear" w:color="auto" w:fill="auto"/>
        <w:bidi w:val="0"/>
        <w:spacing w:before="0" w:after="0" w:line="254" w:lineRule="auto"/>
        <w:ind w:left="0" w:right="0" w:firstLine="0"/>
        <w:jc w:val="left"/>
      </w:pPr>
      <w:bookmarkStart w:id="6" w:name="bookmark6"/>
      <w:r>
        <w:rPr>
          <w:color w:val="000000"/>
          <w:spacing w:val="0"/>
          <w:w w:val="100"/>
          <w:position w:val="0"/>
          <w:shd w:val="clear" w:color="auto" w:fill="auto"/>
          <w:lang w:val="ru-RU" w:eastAsia="ru-RU" w:bidi="ru-RU"/>
        </w:rPr>
        <w:t>Заказчик:</w:t>
      </w:r>
      <w:bookmarkEnd w:id="6"/>
    </w:p>
    <w:p>
      <w:pPr>
        <w:pStyle w:val="Style14"/>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Муниципальное казенное учреждение города</w:t>
      </w:r>
    </w:p>
    <w:p>
      <w:pPr>
        <w:pStyle w:val="Style14"/>
        <w:keepNext w:val="0"/>
        <w:keepLines w:val="0"/>
        <w:widowControl w:val="0"/>
        <w:shd w:val="clear" w:color="auto" w:fill="auto"/>
        <w:bidi w:val="0"/>
        <w:spacing w:before="0" w:after="180" w:line="254" w:lineRule="auto"/>
        <w:ind w:left="0" w:right="0" w:firstLine="0"/>
        <w:jc w:val="left"/>
      </w:pPr>
      <w:r>
        <w:rPr>
          <w:color w:val="000000"/>
          <w:spacing w:val="0"/>
          <w:w w:val="100"/>
          <w:position w:val="0"/>
          <w:shd w:val="clear" w:color="auto" w:fill="auto"/>
          <w:lang w:val="ru-RU" w:eastAsia="ru-RU" w:bidi="ru-RU"/>
        </w:rPr>
        <w:t>Нягани «Управление городского хозяйства» 628181, Ханты-Мансийский автономный округ - Югра, г. Нягань, мкр. 1, дом 50</w:t>
      </w:r>
    </w:p>
    <w:p>
      <w:pPr>
        <w:pStyle w:val="Style12"/>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hd w:val="clear" w:color="auto" w:fill="auto"/>
          <w:lang w:val="ru-RU" w:eastAsia="ru-RU" w:bidi="ru-RU"/>
        </w:rPr>
        <w:t>Уполномоченный орган:</w:t>
      </w:r>
      <w:bookmarkEnd w:id="8"/>
    </w:p>
    <w:p>
      <w:pPr>
        <w:pStyle w:val="Style14"/>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8400" w:h="11900"/>
          <w:pgMar w:top="647" w:right="674" w:bottom="1175" w:left="1088" w:header="0" w:footer="3" w:gutter="0"/>
          <w:pgNumType w:start="1"/>
          <w:cols w:num="2" w:space="720" w:equalWidth="0">
            <w:col w:w="2827" w:space="595"/>
            <w:col w:w="3216"/>
          </w:cols>
          <w:noEndnote/>
          <w:titlePg/>
          <w:rtlGutter w:val="0"/>
          <w:docGrid w:linePitch="360"/>
        </w:sectPr>
      </w:pPr>
      <w:r>
        <w:rPr>
          <w:color w:val="000000"/>
          <w:spacing w:val="0"/>
          <w:w w:val="100"/>
          <w:position w:val="0"/>
          <w:shd w:val="clear" w:color="auto" w:fill="auto"/>
          <w:lang w:val="ru-RU" w:eastAsia="ru-RU" w:bidi="ru-RU"/>
        </w:rPr>
        <w:t>Администрация города Нягани 628181, Ханты-Мансийский автономный округ - Югра, г. Нягань, ул. Загородных, дом 7А</w:t>
      </w:r>
    </w:p>
    <w:p>
      <w:pPr>
        <w:widowControl w:val="0"/>
        <w:spacing w:before="112" w:after="112" w:line="240" w:lineRule="exact"/>
        <w:rPr>
          <w:sz w:val="19"/>
          <w:szCs w:val="19"/>
        </w:rPr>
      </w:pPr>
    </w:p>
    <w:p>
      <w:pPr>
        <w:widowControl w:val="0"/>
        <w:spacing w:line="1" w:lineRule="exact"/>
        <w:sectPr>
          <w:footnotePr>
            <w:pos w:val="pageBottom"/>
            <w:numFmt w:val="decimal"/>
            <w:numRestart w:val="continuous"/>
          </w:footnotePr>
          <w:type w:val="continuous"/>
          <w:pgSz w:w="8400" w:h="11900"/>
          <w:pgMar w:top="594" w:right="0" w:bottom="1227" w:left="0" w:header="0" w:footer="3" w:gutter="0"/>
          <w:cols w:space="720"/>
          <w:noEndnote/>
          <w:rtlGutter w:val="0"/>
          <w:docGrid w:linePitch="360"/>
        </w:sectPr>
      </w:pPr>
    </w:p>
    <w:p>
      <w:pPr>
        <w:pStyle w:val="Style12"/>
        <w:keepNext/>
        <w:keepLines/>
        <w:widowControl w:val="0"/>
        <w:shd w:val="clear" w:color="auto" w:fill="auto"/>
        <w:bidi w:val="0"/>
        <w:spacing w:before="0" w:after="180" w:line="240" w:lineRule="auto"/>
        <w:ind w:left="0" w:right="0" w:firstLine="0"/>
        <w:jc w:val="center"/>
      </w:pPr>
      <w:bookmarkStart w:id="10" w:name="bookmark10"/>
      <w:r>
        <w:rPr>
          <w:color w:val="000000"/>
          <w:spacing w:val="0"/>
          <w:w w:val="100"/>
          <w:position w:val="0"/>
          <w:shd w:val="clear" w:color="auto" w:fill="auto"/>
          <w:lang w:val="ru-RU" w:eastAsia="ru-RU" w:bidi="ru-RU"/>
        </w:rPr>
        <w:t>РЕШЕНИЕ № 086/06/7-1539/2024</w:t>
      </w:r>
      <w:bookmarkEnd w:id="10"/>
    </w:p>
    <w:p>
      <w:pPr>
        <w:pStyle w:val="Style14"/>
        <w:keepNext w:val="0"/>
        <w:keepLines w:val="0"/>
        <w:widowControl w:val="0"/>
        <w:shd w:val="clear" w:color="auto" w:fill="auto"/>
        <w:tabs>
          <w:tab w:pos="5318" w:val="left"/>
        </w:tabs>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объявлена 26.09.2024</w:t>
        <w:tab/>
        <w:t>г. Ханты-Мансийск</w:t>
      </w:r>
    </w:p>
    <w:p>
      <w:pPr>
        <w:pStyle w:val="Style14"/>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Изготовлено в полном объеме 01.10.2024</w:t>
      </w:r>
    </w:p>
    <w:p>
      <w:pPr>
        <w:pStyle w:val="Style14"/>
        <w:keepNext w:val="0"/>
        <w:keepLines w:val="0"/>
        <w:widowControl w:val="0"/>
        <w:shd w:val="clear" w:color="auto" w:fill="auto"/>
        <w:bidi w:val="0"/>
        <w:spacing w:before="0" w:after="180" w:line="254" w:lineRule="auto"/>
        <w:ind w:left="0" w:right="0" w:firstLine="4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Управление) по контролю в сфере закупок в составе:</w:t>
      </w:r>
    </w:p>
    <w:p>
      <w:pPr>
        <w:pStyle w:val="Style14"/>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Председатель комиссии:</w:t>
      </w:r>
    </w:p>
    <w:p>
      <w:pPr>
        <w:pStyle w:val="Style14"/>
        <w:keepNext w:val="0"/>
        <w:keepLines w:val="0"/>
        <w:widowControl w:val="0"/>
        <w:numPr>
          <w:ilvl w:val="0"/>
          <w:numId w:val="1"/>
        </w:numPr>
        <w:shd w:val="clear" w:color="auto" w:fill="auto"/>
        <w:tabs>
          <w:tab w:pos="723" w:val="left"/>
        </w:tabs>
        <w:bidi w:val="0"/>
        <w:spacing w:before="0" w:after="0" w:line="240" w:lineRule="auto"/>
        <w:ind w:left="0" w:right="0" w:firstLine="480"/>
        <w:jc w:val="left"/>
      </w:pPr>
      <w:r>
        <w:rPr>
          <w:color w:val="000000"/>
          <w:spacing w:val="0"/>
          <w:w w:val="100"/>
          <w:position w:val="0"/>
          <w:shd w:val="clear" w:color="auto" w:fill="auto"/>
          <w:lang w:val="ru-RU" w:eastAsia="ru-RU" w:bidi="ru-RU"/>
        </w:rPr>
        <w:t>Валиуллин Р.Р. - Заместитель руководителя Управления;</w:t>
      </w:r>
    </w:p>
    <w:p>
      <w:pPr>
        <w:pStyle w:val="Style14"/>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Членов комиссии:</w:t>
      </w:r>
    </w:p>
    <w:p>
      <w:pPr>
        <w:pStyle w:val="Style14"/>
        <w:keepNext w:val="0"/>
        <w:keepLines w:val="0"/>
        <w:widowControl w:val="0"/>
        <w:numPr>
          <w:ilvl w:val="0"/>
          <w:numId w:val="1"/>
        </w:numPr>
        <w:shd w:val="clear" w:color="auto" w:fill="auto"/>
        <w:tabs>
          <w:tab w:pos="723" w:val="left"/>
        </w:tabs>
        <w:bidi w:val="0"/>
        <w:spacing w:before="0" w:after="0" w:line="240" w:lineRule="auto"/>
        <w:ind w:left="0" w:right="0" w:firstLine="480"/>
        <w:jc w:val="left"/>
      </w:pPr>
      <w:r>
        <w:rPr>
          <w:color w:val="000000"/>
          <w:spacing w:val="0"/>
          <w:w w:val="100"/>
          <w:position w:val="0"/>
          <w:shd w:val="clear" w:color="auto" w:fill="auto"/>
          <w:lang w:val="ru-RU" w:eastAsia="ru-RU" w:bidi="ru-RU"/>
        </w:rPr>
        <w:t>Иванникова Е.А. - Начальник отдела Управления;</w:t>
      </w:r>
    </w:p>
    <w:p>
      <w:pPr>
        <w:pStyle w:val="Style14"/>
        <w:keepNext w:val="0"/>
        <w:keepLines w:val="0"/>
        <w:widowControl w:val="0"/>
        <w:shd w:val="clear" w:color="auto" w:fill="auto"/>
        <w:bidi w:val="0"/>
        <w:spacing w:before="0" w:after="180" w:line="240" w:lineRule="auto"/>
        <w:ind w:left="0" w:right="0" w:firstLine="480"/>
        <w:jc w:val="left"/>
      </w:pPr>
      <w:r>
        <w:rPr>
          <w:color w:val="000000"/>
          <w:spacing w:val="0"/>
          <w:w w:val="100"/>
          <w:position w:val="0"/>
          <w:shd w:val="clear" w:color="auto" w:fill="auto"/>
          <w:lang w:val="ru-RU" w:eastAsia="ru-RU" w:bidi="ru-RU"/>
        </w:rPr>
        <w:t>- Смоль М.С.- Эксперт отдела Управления,</w:t>
      </w:r>
    </w:p>
    <w:p>
      <w:pPr>
        <w:pStyle w:val="Style14"/>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от Заявителя - отсутствовали, уведомлены надлежащим образом;</w:t>
      </w:r>
    </w:p>
    <w:p>
      <w:pPr>
        <w:pStyle w:val="Style14"/>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от Заказчика - посредством видеоконференц-связи Михайлусова Е.В. по доверенности № 2 от 09.01.2024 г.;</w:t>
      </w:r>
    </w:p>
    <w:p>
      <w:pPr>
        <w:pStyle w:val="Style14"/>
        <w:keepNext w:val="0"/>
        <w:keepLines w:val="0"/>
        <w:widowControl w:val="0"/>
        <w:shd w:val="clear" w:color="auto" w:fill="auto"/>
        <w:bidi w:val="0"/>
        <w:spacing w:before="0" w:after="180" w:line="240" w:lineRule="auto"/>
        <w:ind w:left="0" w:right="0" w:firstLine="480"/>
        <w:jc w:val="left"/>
      </w:pPr>
      <w:r>
        <w:rPr>
          <w:color w:val="000000"/>
          <w:spacing w:val="0"/>
          <w:w w:val="100"/>
          <w:position w:val="0"/>
          <w:shd w:val="clear" w:color="auto" w:fill="auto"/>
          <w:lang w:val="ru-RU" w:eastAsia="ru-RU" w:bidi="ru-RU"/>
        </w:rPr>
        <w:t>от Уполномоченного органа — отсутствовали, уведомлены надлежащим образом,</w:t>
      </w:r>
    </w:p>
    <w:p>
      <w:pPr>
        <w:pStyle w:val="Style14"/>
        <w:keepNext w:val="0"/>
        <w:keepLines w:val="0"/>
        <w:widowControl w:val="0"/>
        <w:shd w:val="clear" w:color="auto" w:fill="auto"/>
        <w:bidi w:val="0"/>
        <w:spacing w:before="0" w:after="260" w:line="254" w:lineRule="auto"/>
        <w:ind w:left="0" w:right="0" w:firstLine="480"/>
        <w:jc w:val="both"/>
      </w:pPr>
      <w:r>
        <w:rPr>
          <w:color w:val="000000"/>
          <w:spacing w:val="0"/>
          <w:w w:val="100"/>
          <w:position w:val="0"/>
          <w:shd w:val="clear" w:color="auto" w:fill="auto"/>
          <w:lang w:val="ru-RU" w:eastAsia="ru-RU" w:bidi="ru-RU"/>
        </w:rPr>
        <w:t>рассмотрев жалобу индивидуального предпринимателя Кравченко Андрея Геннадьевича (ОГРНИП: 321861700093625, ИНН: 861004994980) № 9417/24 от 20.09.2024 на действия</w:t>
      </w:r>
    </w:p>
    <w:p>
      <w:pPr>
        <w:pStyle w:val="Style16"/>
        <w:keepNext/>
        <w:keepLines/>
        <w:widowControl w:val="0"/>
        <w:shd w:val="clear" w:color="auto" w:fill="auto"/>
        <w:bidi w:val="0"/>
        <w:spacing w:before="0" w:line="240" w:lineRule="auto"/>
        <w:ind w:left="0" w:right="0" w:firstLine="0"/>
        <w:jc w:val="left"/>
      </w:pPr>
      <w:bookmarkStart w:id="12" w:name="bookmark12"/>
      <w:r>
        <w:rPr>
          <w:color w:val="000000"/>
          <w:spacing w:val="0"/>
          <w:w w:val="100"/>
          <w:position w:val="0"/>
          <w:sz w:val="24"/>
          <w:szCs w:val="24"/>
          <w:shd w:val="clear" w:color="auto" w:fill="auto"/>
          <w:lang w:val="ru-RU" w:eastAsia="ru-RU" w:bidi="ru-RU"/>
        </w:rPr>
        <w:t>1111111111111111 11111111</w:t>
      </w:r>
      <w:bookmarkEnd w:id="12"/>
    </w:p>
    <w:p>
      <w:pPr>
        <w:pStyle w:val="Style14"/>
        <w:keepNext w:val="0"/>
        <w:keepLines w:val="0"/>
        <w:widowControl w:val="0"/>
        <w:shd w:val="clear" w:color="auto" w:fill="auto"/>
        <w:bidi w:val="0"/>
        <w:spacing w:before="0" w:after="160" w:line="240" w:lineRule="auto"/>
        <w:ind w:left="0" w:right="0" w:firstLine="0"/>
        <w:jc w:val="both"/>
      </w:pPr>
      <w:r>
        <w:rPr>
          <w:color w:val="000000"/>
          <w:spacing w:val="0"/>
          <w:w w:val="100"/>
          <w:position w:val="0"/>
          <w:shd w:val="clear" w:color="auto" w:fill="auto"/>
          <w:lang w:val="ru-RU" w:eastAsia="ru-RU" w:bidi="ru-RU"/>
        </w:rPr>
        <w:t>Заказчика — муниципального казенного учреждения города Нягани «Управление городского хозяйства», Уполномоченного органа — Администрации города Нягани при проведении электронного аукциона, объектом которого является «Оказание услуг по содержанию и обслуживанию внутриквартальных проездов, расположенных на территории микрорайонов Восточный, Финский, Энергетиков, Западный, Геология города Нягани» (извещение № 0187300008124000244) и в результате осуществления внеплановой проверки в соответствии с пунктом 1 части 15 статьи 99 Федерального закона от 05.04.2013 И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keepLines/>
        <w:widowControl w:val="0"/>
        <w:shd w:val="clear" w:color="auto" w:fill="auto"/>
        <w:bidi w:val="0"/>
        <w:spacing w:before="0" w:after="160" w:line="252" w:lineRule="auto"/>
        <w:ind w:left="0" w:right="0" w:firstLine="0"/>
        <w:jc w:val="center"/>
      </w:pPr>
      <w:bookmarkStart w:id="14" w:name="bookmark14"/>
      <w:r>
        <w:rPr>
          <w:color w:val="000000"/>
          <w:spacing w:val="0"/>
          <w:w w:val="100"/>
          <w:position w:val="0"/>
          <w:shd w:val="clear" w:color="auto" w:fill="auto"/>
          <w:lang w:val="ru-RU" w:eastAsia="ru-RU" w:bidi="ru-RU"/>
        </w:rPr>
        <w:t>УСТАНОВИЛА:</w:t>
      </w:r>
      <w:bookmarkEnd w:id="14"/>
    </w:p>
    <w:p>
      <w:pPr>
        <w:pStyle w:val="Style14"/>
        <w:keepNext w:val="0"/>
        <w:keepLines w:val="0"/>
        <w:widowControl w:val="0"/>
        <w:shd w:val="clear" w:color="auto" w:fill="auto"/>
        <w:bidi w:val="0"/>
        <w:spacing w:before="0" w:after="0" w:line="252" w:lineRule="auto"/>
        <w:ind w:left="0" w:right="0"/>
        <w:jc w:val="both"/>
      </w:pPr>
      <w:r>
        <w:rPr>
          <w:color w:val="000000"/>
          <w:spacing w:val="0"/>
          <w:w w:val="100"/>
          <w:position w:val="0"/>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индивидуального предпринимателя Кравченко Андрея Геннадьевича (ОГРНИП: 321861700093625, ИНН: 861004994980) № 9417/24 от 20.09.2024 на действия Заказчика — муниципального, казенного учреждения города Нягани «Управление городского хозяйства», Уполномоченного органа — Администрации города Нягани при проведении электронного аукциона, объектом которого является «Оказание услуг по содержанию и обслуживанию внутриквартальных проездов, расположенных на территории микрорайонов Восточный, Финский, Энергетиков, Западный, Геология города Нягани» (извещение № 0187300008124000244).</w:t>
      </w:r>
    </w:p>
    <w:p>
      <w:pPr>
        <w:pStyle w:val="Style14"/>
        <w:keepNext w:val="0"/>
        <w:keepLines w:val="0"/>
        <w:widowControl w:val="0"/>
        <w:shd w:val="clear" w:color="auto" w:fill="auto"/>
        <w:bidi w:val="0"/>
        <w:spacing w:before="0" w:after="0" w:line="252" w:lineRule="auto"/>
        <w:ind w:left="0" w:right="0"/>
        <w:jc w:val="both"/>
      </w:pPr>
      <w:r>
        <w:rPr>
          <w:color w:val="000000"/>
          <w:spacing w:val="0"/>
          <w:w w:val="100"/>
          <w:position w:val="0"/>
          <w:shd w:val="clear" w:color="auto" w:fill="auto"/>
          <w:lang w:val="ru-RU" w:eastAsia="ru-RU" w:bidi="ru-RU"/>
        </w:rPr>
        <w:t>В жалобе Заявитель указал следующее.</w:t>
      </w:r>
    </w:p>
    <w:p>
      <w:pPr>
        <w:pStyle w:val="Style14"/>
        <w:keepNext w:val="0"/>
        <w:keepLines w:val="0"/>
        <w:widowControl w:val="0"/>
        <w:numPr>
          <w:ilvl w:val="0"/>
          <w:numId w:val="3"/>
        </w:numPr>
        <w:shd w:val="clear" w:color="auto" w:fill="auto"/>
        <w:tabs>
          <w:tab w:pos="553" w:val="left"/>
        </w:tabs>
        <w:bidi w:val="0"/>
        <w:spacing w:before="0" w:after="0" w:line="252" w:lineRule="auto"/>
        <w:ind w:left="0" w:right="0"/>
        <w:jc w:val="both"/>
      </w:pPr>
      <w:r>
        <w:rPr>
          <w:color w:val="000000"/>
          <w:spacing w:val="0"/>
          <w:w w:val="100"/>
          <w:position w:val="0"/>
          <w:shd w:val="clear" w:color="auto" w:fill="auto"/>
          <w:lang w:val="ru-RU" w:eastAsia="ru-RU" w:bidi="ru-RU"/>
        </w:rPr>
        <w:t>Применение кода ОКПД 81.29.19.000 для данной закупки является необоснованным и не подлежащим применению.</w:t>
      </w:r>
    </w:p>
    <w:p>
      <w:pPr>
        <w:pStyle w:val="Style14"/>
        <w:keepNext w:val="0"/>
        <w:keepLines w:val="0"/>
        <w:widowControl w:val="0"/>
        <w:numPr>
          <w:ilvl w:val="0"/>
          <w:numId w:val="3"/>
        </w:numPr>
        <w:shd w:val="clear" w:color="auto" w:fill="auto"/>
        <w:tabs>
          <w:tab w:pos="558" w:val="left"/>
        </w:tabs>
        <w:bidi w:val="0"/>
        <w:spacing w:before="0" w:after="0" w:line="252" w:lineRule="auto"/>
        <w:ind w:left="0" w:right="0"/>
        <w:jc w:val="both"/>
      </w:pPr>
      <w:r>
        <w:rPr>
          <w:color w:val="000000"/>
          <w:spacing w:val="0"/>
          <w:w w:val="100"/>
          <w:position w:val="0"/>
          <w:shd w:val="clear" w:color="auto" w:fill="auto"/>
          <w:lang w:val="ru-RU" w:eastAsia="ru-RU" w:bidi="ru-RU"/>
        </w:rPr>
        <w:t>Пунктом 2.5. Описания объекта закупки определено, что качество оказанных услуг соответствует требованиям и нормам, указанным в решении Думы города Нягани от 28 октября 2022 года № 135 «Об утверждении Правил благоустройства на территории города Нягани» (с дополнениями и изменениями). Указанный нормативный документ не содержит требования к качеству оказанных услуг по содержанию и обслуживанию внутриквартальных проездов, при этом указанный нормативный акт в целом не определяет требования к порядку оказания услуг предусмотренный условиями закупки.</w:t>
      </w:r>
    </w:p>
    <w:p>
      <w:pPr>
        <w:pStyle w:val="Style14"/>
        <w:keepNext w:val="0"/>
        <w:keepLines w:val="0"/>
        <w:widowControl w:val="0"/>
        <w:numPr>
          <w:ilvl w:val="0"/>
          <w:numId w:val="3"/>
        </w:numPr>
        <w:shd w:val="clear" w:color="auto" w:fill="auto"/>
        <w:tabs>
          <w:tab w:pos="558" w:val="left"/>
        </w:tabs>
        <w:bidi w:val="0"/>
        <w:spacing w:before="0" w:after="160" w:line="252" w:lineRule="auto"/>
        <w:ind w:left="0" w:right="0"/>
        <w:jc w:val="both"/>
      </w:pPr>
      <w:r>
        <w:rPr>
          <w:color w:val="000000"/>
          <w:spacing w:val="0"/>
          <w:w w:val="100"/>
          <w:position w:val="0"/>
          <w:shd w:val="clear" w:color="auto" w:fill="auto"/>
          <w:lang w:val="ru-RU" w:eastAsia="ru-RU" w:bidi="ru-RU"/>
        </w:rPr>
        <w:t>Пунктом 2.2. установлено, что услуги по очистке внутриквартальных проездов осуществляются по заявке муниципального Заказчика. Однако при этом муниципальный Заказчик ни в одном документе не определяет порядок и сроки направления такой заявки, что в итоге может привести к направлению такой заявки с требованием о немедленном исполнении без учета времени необходимого для мобилизации как специализированной техники, так и труцовых ресурсов.</w:t>
      </w:r>
    </w:p>
    <w:p>
      <w:pPr>
        <w:pStyle w:val="Style12"/>
        <w:keepNext/>
        <w:keepLines/>
        <w:widowControl w:val="0"/>
        <w:shd w:val="clear" w:color="auto" w:fill="auto"/>
        <w:bidi w:val="0"/>
        <w:spacing w:before="0" w:after="0" w:line="252" w:lineRule="auto"/>
        <w:ind w:left="0" w:right="0" w:firstLine="320"/>
        <w:jc w:val="both"/>
      </w:pPr>
      <w:bookmarkStart w:id="16" w:name="bookmark16"/>
      <w:r>
        <w:rPr>
          <w:color w:val="000000"/>
          <w:spacing w:val="0"/>
          <w:w w:val="100"/>
          <w:position w:val="0"/>
          <w:shd w:val="clear" w:color="auto" w:fill="auto"/>
          <w:lang w:val="ru-RU" w:eastAsia="ru-RU" w:bidi="ru-RU"/>
        </w:rPr>
        <w:t>В ходе рассмотрения доводов сторон Комиссией Управления установлено следующее.</w:t>
      </w:r>
      <w:bookmarkEnd w:id="16"/>
    </w:p>
    <w:p>
      <w:pPr>
        <w:pStyle w:val="Style14"/>
        <w:keepNext w:val="0"/>
        <w:keepLines w:val="0"/>
        <w:widowControl w:val="0"/>
        <w:shd w:val="clear" w:color="auto" w:fill="auto"/>
        <w:bidi w:val="0"/>
        <w:spacing w:before="0" w:after="0" w:line="252" w:lineRule="auto"/>
        <w:ind w:left="0" w:right="0"/>
        <w:jc w:val="both"/>
      </w:pPr>
      <w:r>
        <w:rPr>
          <w:color w:val="000000"/>
          <w:spacing w:val="0"/>
          <w:w w:val="100"/>
          <w:position w:val="0"/>
          <w:shd w:val="clear" w:color="auto" w:fill="auto"/>
          <w:lang w:val="ru-RU" w:eastAsia="ru-RU" w:bidi="ru-RU"/>
        </w:rPr>
        <w:t>Согласно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4"/>
        <w:keepNext w:val="0"/>
        <w:keepLines w:val="0"/>
        <w:widowControl w:val="0"/>
        <w:numPr>
          <w:ilvl w:val="0"/>
          <w:numId w:val="5"/>
        </w:numPr>
        <w:shd w:val="clear" w:color="auto" w:fill="auto"/>
        <w:tabs>
          <w:tab w:pos="577" w:val="left"/>
        </w:tabs>
        <w:bidi w:val="0"/>
        <w:spacing w:before="0" w:after="0" w:line="252" w:lineRule="auto"/>
        <w:ind w:left="0" w:right="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4"/>
        <w:keepNext w:val="0"/>
        <w:keepLines w:val="0"/>
        <w:widowControl w:val="0"/>
        <w:numPr>
          <w:ilvl w:val="0"/>
          <w:numId w:val="7"/>
        </w:numPr>
        <w:shd w:val="clear" w:color="auto" w:fill="auto"/>
        <w:tabs>
          <w:tab w:pos="590" w:val="left"/>
        </w:tabs>
        <w:bidi w:val="0"/>
        <w:spacing w:before="0" w:after="0" w:line="252" w:lineRule="auto"/>
        <w:ind w:left="0" w:right="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4"/>
        <w:keepNext w:val="0"/>
        <w:keepLines w:val="0"/>
        <w:widowControl w:val="0"/>
        <w:numPr>
          <w:ilvl w:val="0"/>
          <w:numId w:val="7"/>
        </w:numPr>
        <w:shd w:val="clear" w:color="auto" w:fill="auto"/>
        <w:tabs>
          <w:tab w:pos="260" w:val="left"/>
        </w:tabs>
        <w:bidi w:val="0"/>
        <w:spacing w:before="0" w:after="0" w:line="252" w:lineRule="auto"/>
        <w:ind w:left="0" w:right="0" w:firstLine="320"/>
        <w:jc w:val="both"/>
      </w:pPr>
      <w:r>
        <w:rPr>
          <w:color w:val="000000"/>
          <w:spacing w:val="0"/>
          <w:w w:val="100"/>
          <w:position w:val="0"/>
          <w:shd w:val="clear" w:color="auto" w:fill="auto"/>
          <w:lang w:val="ru-RU" w:eastAsia="ru-RU" w:bidi="ru-RU"/>
        </w:rPr>
        <w:t xml:space="preserve">несовместимость товаров, на которых размещаются другие товарные знаки, и </w:t>
      </w:r>
      <w:r>
        <w:rPr>
          <w:color w:val="000000"/>
          <w:spacing w:val="0"/>
          <w:w w:val="100"/>
          <w:position w:val="0"/>
          <w:shd w:val="clear" w:color="auto" w:fill="auto"/>
          <w:lang w:val="ru-RU" w:eastAsia="ru-RU" w:bidi="ru-RU"/>
        </w:rPr>
        <w:t>необходимость обеспечения взаимодействия таких товаров с товарами, используемыми заказчиком;</w:t>
      </w:r>
    </w:p>
    <w:p>
      <w:pPr>
        <w:pStyle w:val="Style14"/>
        <w:keepNext w:val="0"/>
        <w:keepLines w:val="0"/>
        <w:widowControl w:val="0"/>
        <w:numPr>
          <w:ilvl w:val="0"/>
          <w:numId w:val="7"/>
        </w:numPr>
        <w:shd w:val="clear" w:color="auto" w:fill="auto"/>
        <w:tabs>
          <w:tab w:pos="586" w:val="left"/>
        </w:tabs>
        <w:bidi w:val="0"/>
        <w:spacing w:before="0" w:after="0" w:line="240" w:lineRule="auto"/>
        <w:ind w:left="0" w:right="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numPr>
          <w:ilvl w:val="0"/>
          <w:numId w:val="7"/>
        </w:numPr>
        <w:shd w:val="clear" w:color="auto" w:fill="auto"/>
        <w:tabs>
          <w:tab w:pos="572" w:val="left"/>
        </w:tabs>
        <w:bidi w:val="0"/>
        <w:spacing w:before="0" w:after="0" w:line="240" w:lineRule="auto"/>
        <w:ind w:left="0" w:right="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4"/>
        <w:keepNext w:val="0"/>
        <w:keepLines w:val="0"/>
        <w:widowControl w:val="0"/>
        <w:numPr>
          <w:ilvl w:val="0"/>
          <w:numId w:val="5"/>
        </w:numPr>
        <w:shd w:val="clear" w:color="auto" w:fill="auto"/>
        <w:tabs>
          <w:tab w:pos="586" w:val="left"/>
        </w:tabs>
        <w:bidi w:val="0"/>
        <w:spacing w:before="0" w:after="0" w:line="240" w:lineRule="auto"/>
        <w:ind w:left="0" w:right="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4"/>
        <w:keepNext w:val="0"/>
        <w:keepLines w:val="0"/>
        <w:widowControl w:val="0"/>
        <w:numPr>
          <w:ilvl w:val="0"/>
          <w:numId w:val="5"/>
        </w:numPr>
        <w:shd w:val="clear" w:color="auto" w:fill="auto"/>
        <w:tabs>
          <w:tab w:pos="591" w:val="left"/>
        </w:tabs>
        <w:bidi w:val="0"/>
        <w:spacing w:before="0" w:after="0" w:line="240" w:lineRule="auto"/>
        <w:ind w:left="0" w:right="0"/>
        <w:jc w:val="both"/>
      </w:pPr>
      <w:r>
        <w:rPr>
          <w:color w:val="000000"/>
          <w:spacing w:val="0"/>
          <w:w w:val="100"/>
          <w:position w:val="0"/>
          <w:shd w:val="clear" w:color="auto" w:fill="auto"/>
          <w:lang w:val="ru-RU" w:eastAsia="ru-RU" w:bidi="ru-RU"/>
        </w:rPr>
        <w:t>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14"/>
        <w:keepNext w:val="0"/>
        <w:keepLines w:val="0"/>
        <w:widowControl w:val="0"/>
        <w:numPr>
          <w:ilvl w:val="0"/>
          <w:numId w:val="5"/>
        </w:numPr>
        <w:shd w:val="clear" w:color="auto" w:fill="auto"/>
        <w:tabs>
          <w:tab w:pos="591" w:val="left"/>
        </w:tabs>
        <w:bidi w:val="0"/>
        <w:spacing w:before="0" w:after="0" w:line="240" w:lineRule="auto"/>
        <w:ind w:left="0" w:right="0"/>
        <w:jc w:val="both"/>
      </w:pPr>
      <w:r>
        <w:rPr>
          <w:color w:val="000000"/>
          <w:spacing w:val="0"/>
          <w:w w:val="100"/>
          <w:position w:val="0"/>
          <w:shd w:val="clear" w:color="auto" w:fill="auto"/>
          <w:lang w:val="ru-RU" w:eastAsia="ru-RU" w:bidi="ru-RU"/>
        </w:rPr>
        <w:t>описание объекта закупки должно содержать изображение поставляемого товара, позволяющее его идентифицировать и подготовить заявку, если в таком описании содержится требование о соответствии поставляемого товара изображению товара, на поставку которого заключается контракт;</w:t>
      </w:r>
    </w:p>
    <w:p>
      <w:pPr>
        <w:pStyle w:val="Style14"/>
        <w:keepNext w:val="0"/>
        <w:keepLines w:val="0"/>
        <w:widowControl w:val="0"/>
        <w:numPr>
          <w:ilvl w:val="0"/>
          <w:numId w:val="5"/>
        </w:numPr>
        <w:shd w:val="clear" w:color="auto" w:fill="auto"/>
        <w:tabs>
          <w:tab w:pos="586" w:val="left"/>
        </w:tabs>
        <w:bidi w:val="0"/>
        <w:spacing w:before="0" w:after="0" w:line="240" w:lineRule="auto"/>
        <w:ind w:left="0" w:right="0"/>
        <w:jc w:val="both"/>
      </w:pPr>
      <w:r>
        <w:rPr>
          <w:color w:val="000000"/>
          <w:spacing w:val="0"/>
          <w:w w:val="100"/>
          <w:position w:val="0"/>
          <w:shd w:val="clear" w:color="auto" w:fill="auto"/>
          <w:lang w:val="ru-RU" w:eastAsia="ru-RU" w:bidi="ru-RU"/>
        </w:rPr>
        <w:t>описание объекта закупки должно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таком описании содержится требование о соответствии поставляемого товара образцу или макету товара, на поставку которого заключается контракт;</w:t>
      </w:r>
    </w:p>
    <w:p>
      <w:pPr>
        <w:pStyle w:val="Style14"/>
        <w:keepNext w:val="0"/>
        <w:keepLines w:val="0"/>
        <w:widowControl w:val="0"/>
        <w:numPr>
          <w:ilvl w:val="0"/>
          <w:numId w:val="5"/>
        </w:numPr>
        <w:shd w:val="clear" w:color="auto" w:fill="auto"/>
        <w:tabs>
          <w:tab w:pos="586" w:val="left"/>
        </w:tabs>
        <w:bidi w:val="0"/>
        <w:spacing w:before="0" w:after="0" w:line="240" w:lineRule="auto"/>
        <w:ind w:left="0" w:right="0"/>
        <w:jc w:val="both"/>
      </w:pPr>
      <w:r>
        <w:rPr>
          <w:color w:val="000000"/>
          <w:spacing w:val="0"/>
          <w:w w:val="100"/>
          <w:position w:val="0"/>
          <w:shd w:val="clear" w:color="auto" w:fill="auto"/>
          <w:lang w:val="ru-RU" w:eastAsia="ru-RU" w:bidi="ru-RU"/>
        </w:rPr>
        <w:t xml:space="preserve">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w:t>
      </w:r>
      <w:r>
        <w:rPr>
          <w:color w:val="000000"/>
          <w:spacing w:val="0"/>
          <w:w w:val="100"/>
          <w:position w:val="0"/>
          <w:shd w:val="clear" w:color="auto" w:fill="auto"/>
          <w:lang w:val="ru-RU" w:eastAsia="ru-RU" w:bidi="ru-RU"/>
        </w:rPr>
        <w:t>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111.4 настоящего Федерального закона;</w:t>
      </w:r>
    </w:p>
    <w:p>
      <w:pPr>
        <w:pStyle w:val="Style14"/>
        <w:keepNext w:val="0"/>
        <w:keepLines w:val="0"/>
        <w:widowControl w:val="0"/>
        <w:numPr>
          <w:ilvl w:val="0"/>
          <w:numId w:val="5"/>
        </w:numPr>
        <w:shd w:val="clear" w:color="auto" w:fill="auto"/>
        <w:tabs>
          <w:tab w:pos="582" w:val="left"/>
        </w:tabs>
        <w:bidi w:val="0"/>
        <w:spacing w:before="0" w:after="0" w:line="240" w:lineRule="auto"/>
        <w:ind w:left="0" w:right="0"/>
        <w:jc w:val="both"/>
      </w:pPr>
      <w:r>
        <w:rPr>
          <w:color w:val="000000"/>
          <w:spacing w:val="0"/>
          <w:w w:val="100"/>
          <w:position w:val="0"/>
          <w:shd w:val="clear" w:color="auto" w:fill="auto"/>
          <w:lang w:val="ru-RU" w:eastAsia="ru-RU" w:bidi="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pPr>
        <w:pStyle w:val="Style14"/>
        <w:keepNext w:val="0"/>
        <w:keepLines w:val="0"/>
        <w:widowControl w:val="0"/>
        <w:numPr>
          <w:ilvl w:val="0"/>
          <w:numId w:val="5"/>
        </w:numPr>
        <w:shd w:val="clear" w:color="auto" w:fill="auto"/>
        <w:tabs>
          <w:tab w:pos="582" w:val="left"/>
        </w:tabs>
        <w:bidi w:val="0"/>
        <w:spacing w:before="0" w:after="0" w:line="240" w:lineRule="auto"/>
        <w:ind w:left="0" w:right="0"/>
        <w:jc w:val="both"/>
      </w:pPr>
      <w:r>
        <w:rPr>
          <w:color w:val="000000"/>
          <w:spacing w:val="0"/>
          <w:w w:val="100"/>
          <w:position w:val="0"/>
          <w:shd w:val="clear" w:color="auto" w:fill="auto"/>
          <w:lang w:val="ru-RU" w:eastAsia="ru-RU" w:bidi="ru-RU"/>
        </w:rPr>
        <w:t>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1 - 3 настоящей части, части 2 настоящей статьи.</w:t>
      </w:r>
    </w:p>
    <w:p>
      <w:pPr>
        <w:pStyle w:val="Style14"/>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В соответствии с частью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4"/>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Согласно пункту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К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14 145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9"/>
        </w:numPr>
        <w:shd w:val="clear" w:color="auto" w:fill="auto"/>
        <w:tabs>
          <w:tab w:pos="600" w:val="left"/>
        </w:tabs>
        <w:bidi w:val="0"/>
        <w:spacing w:before="0" w:after="0" w:line="240" w:lineRule="auto"/>
        <w:ind w:left="0" w:right="0"/>
        <w:jc w:val="both"/>
      </w:pPr>
      <w:r>
        <w:rPr>
          <w:color w:val="000000"/>
          <w:spacing w:val="0"/>
          <w:w w:val="100"/>
          <w:position w:val="0"/>
          <w:shd w:val="clear" w:color="auto" w:fill="auto"/>
          <w:lang w:val="ru-RU" w:eastAsia="ru-RU" w:bidi="ru-RU"/>
        </w:rPr>
        <w:t>наименование товара, работы, услуги;</w:t>
      </w:r>
    </w:p>
    <w:p>
      <w:pPr>
        <w:pStyle w:val="Style14"/>
        <w:keepNext w:val="0"/>
        <w:keepLines w:val="0"/>
        <w:widowControl w:val="0"/>
        <w:numPr>
          <w:ilvl w:val="0"/>
          <w:numId w:val="9"/>
        </w:numPr>
        <w:shd w:val="clear" w:color="auto" w:fill="auto"/>
        <w:tabs>
          <w:tab w:pos="582" w:val="left"/>
        </w:tabs>
        <w:bidi w:val="0"/>
        <w:spacing w:before="0" w:after="0" w:line="240" w:lineRule="auto"/>
        <w:ind w:left="0" w:right="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9"/>
        </w:numPr>
        <w:shd w:val="clear" w:color="auto" w:fill="auto"/>
        <w:tabs>
          <w:tab w:pos="595" w:val="left"/>
        </w:tabs>
        <w:bidi w:val="0"/>
        <w:spacing w:before="0" w:after="160" w:line="240" w:lineRule="auto"/>
        <w:ind w:left="0" w:right="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8"/>
        <w:keepNext w:val="0"/>
        <w:keepLines w:val="0"/>
        <w:widowControl w:val="0"/>
        <w:shd w:val="clear" w:color="auto" w:fill="auto"/>
        <w:bidi w:val="0"/>
        <w:spacing w:before="0" w:after="0" w:line="240" w:lineRule="auto"/>
        <w:ind w:left="456" w:right="0" w:firstLine="0"/>
        <w:jc w:val="left"/>
      </w:pPr>
      <w:r>
        <w:rPr>
          <w:color w:val="000000"/>
          <w:spacing w:val="0"/>
          <w:w w:val="100"/>
          <w:position w:val="0"/>
          <w:shd w:val="clear" w:color="auto" w:fill="auto"/>
          <w:lang w:val="ru-RU" w:eastAsia="ru-RU" w:bidi="ru-RU"/>
        </w:rPr>
        <w:t>Относительно первого довода жалобы Комиссия Управления поясняет следующее.</w:t>
      </w:r>
    </w:p>
    <w:p>
      <w:pPr>
        <w:pStyle w:val="Style18"/>
        <w:keepNext w:val="0"/>
        <w:keepLines w:val="0"/>
        <w:widowControl w:val="0"/>
        <w:shd w:val="clear" w:color="auto" w:fill="auto"/>
        <w:bidi w:val="0"/>
        <w:spacing w:before="0" w:after="0" w:line="240" w:lineRule="auto"/>
        <w:ind w:left="456" w:right="0" w:firstLine="0"/>
        <w:jc w:val="left"/>
      </w:pPr>
      <w:r>
        <w:rPr>
          <w:b w:val="0"/>
          <w:bCs w:val="0"/>
          <w:color w:val="000000"/>
          <w:spacing w:val="0"/>
          <w:w w:val="100"/>
          <w:position w:val="0"/>
          <w:shd w:val="clear" w:color="auto" w:fill="auto"/>
          <w:lang w:val="ru-RU" w:eastAsia="ru-RU" w:bidi="ru-RU"/>
        </w:rPr>
        <w:t>В соответствии с описанием объекта закупки Заказчику требуется следующее:</w:t>
      </w:r>
    </w:p>
    <w:tbl>
      <w:tblPr>
        <w:tblOverlap w:val="never"/>
        <w:jc w:val="center"/>
        <w:tblLayout w:type="fixed"/>
      </w:tblPr>
      <w:tblGrid>
        <w:gridCol w:w="312"/>
        <w:gridCol w:w="845"/>
        <w:gridCol w:w="898"/>
        <w:gridCol w:w="3288"/>
        <w:gridCol w:w="715"/>
        <w:gridCol w:w="610"/>
      </w:tblGrid>
      <w:tr>
        <w:trPr>
          <w:trHeight w:val="470"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 п/п</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Код по</w:t>
            </w:r>
          </w:p>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ОКПД 2</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Код позиции по КТРУ</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Наименование и описание объекта закупки (с учетом статьи 33 Федерального закона № 44-ФЗ)</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Единица измерени 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Объем</w:t>
            </w:r>
          </w:p>
        </w:tc>
      </w:tr>
      <w:tr>
        <w:trPr>
          <w:trHeight w:val="187"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1</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2</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3</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4</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5</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260" w:firstLine="0"/>
              <w:jc w:val="right"/>
              <w:rPr>
                <w:sz w:val="13"/>
                <w:szCs w:val="13"/>
              </w:rPr>
            </w:pPr>
            <w:r>
              <w:rPr>
                <w:color w:val="000000"/>
                <w:spacing w:val="0"/>
                <w:w w:val="100"/>
                <w:position w:val="0"/>
                <w:sz w:val="13"/>
                <w:szCs w:val="13"/>
                <w:shd w:val="clear" w:color="auto" w:fill="auto"/>
                <w:lang w:val="ru-RU" w:eastAsia="ru-RU" w:bidi="ru-RU"/>
              </w:rPr>
              <w:t>6</w:t>
            </w:r>
          </w:p>
        </w:tc>
      </w:tr>
      <w:tr>
        <w:trPr>
          <w:trHeight w:val="773" w:hRule="exact"/>
        </w:trPr>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1.</w:t>
            </w:r>
          </w:p>
        </w:tc>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81.29.19.000</w:t>
            </w:r>
          </w:p>
        </w:tc>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81.29.10.000- 00000006</w:t>
            </w:r>
          </w:p>
        </w:tc>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Оказание услуг по содержанию и обслуживанию внутриквартальных проездов, расположенных на территории микрорайонов Восточный, Финский, Энергетиков, Западный, Геология города Нягани, в том числе:</w:t>
            </w:r>
          </w:p>
        </w:tc>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Условная единица</w:t>
            </w:r>
          </w:p>
        </w:tc>
        <w:tc>
          <w:tcPr>
            <w:tcBorders>
              <w:top w:val="single" w:sz="4"/>
              <w:left w:val="single" w:sz="4"/>
              <w:bottom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260" w:firstLine="0"/>
              <w:jc w:val="right"/>
              <w:rPr>
                <w:sz w:val="13"/>
                <w:szCs w:val="13"/>
              </w:rPr>
            </w:pPr>
            <w:r>
              <w:rPr>
                <w:color w:val="000000"/>
                <w:spacing w:val="0"/>
                <w:w w:val="100"/>
                <w:position w:val="0"/>
                <w:sz w:val="13"/>
                <w:szCs w:val="13"/>
                <w:shd w:val="clear" w:color="auto" w:fill="auto"/>
                <w:lang w:val="ru-RU" w:eastAsia="ru-RU" w:bidi="ru-RU"/>
              </w:rPr>
              <w:t>‘ 1</w:t>
            </w:r>
          </w:p>
        </w:tc>
      </w:tr>
    </w:tbl>
    <w:p>
      <w:pPr>
        <w:widowControl w:val="0"/>
        <w:spacing w:after="59" w:line="1" w:lineRule="exact"/>
      </w:pPr>
    </w:p>
    <w:p>
      <w:pPr>
        <w:widowControl w:val="0"/>
        <w:spacing w:line="1" w:lineRule="exact"/>
      </w:pPr>
    </w:p>
    <w:p>
      <w:pPr>
        <w:pStyle w:val="Style18"/>
        <w:keepNext w:val="0"/>
        <w:keepLines w:val="0"/>
        <w:widowControl w:val="0"/>
        <w:shd w:val="clear" w:color="auto" w:fill="auto"/>
        <w:bidi w:val="0"/>
        <w:spacing w:before="0" w:after="0" w:line="240" w:lineRule="auto"/>
        <w:ind w:left="466" w:right="0" w:firstLine="0"/>
        <w:jc w:val="left"/>
      </w:pPr>
      <w:r>
        <w:rPr>
          <w:b w:val="0"/>
          <w:bCs w:val="0"/>
          <w:color w:val="000000"/>
          <w:spacing w:val="0"/>
          <w:w w:val="100"/>
          <w:position w:val="0"/>
          <w:u w:val="single"/>
          <w:shd w:val="clear" w:color="auto" w:fill="auto"/>
          <w:lang w:val="ru-RU" w:eastAsia="ru-RU" w:bidi="ru-RU"/>
        </w:rPr>
        <w:t>Объем услуг:</w:t>
      </w:r>
    </w:p>
    <w:tbl>
      <w:tblPr>
        <w:tblOverlap w:val="never"/>
        <w:jc w:val="center"/>
        <w:tblLayout w:type="fixed"/>
      </w:tblPr>
      <w:tblGrid>
        <w:gridCol w:w="379"/>
        <w:gridCol w:w="4944"/>
        <w:gridCol w:w="701"/>
        <w:gridCol w:w="653"/>
      </w:tblGrid>
      <w:tr>
        <w:trPr>
          <w:trHeight w:val="677"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 п/п</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Наименование услуг</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Ед. измерен ия</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52" w:lineRule="auto"/>
              <w:ind w:left="0" w:right="0" w:firstLine="0"/>
              <w:jc w:val="center"/>
              <w:rPr>
                <w:sz w:val="13"/>
                <w:szCs w:val="13"/>
              </w:rPr>
            </w:pPr>
            <w:r>
              <w:rPr>
                <w:color w:val="000000"/>
                <w:spacing w:val="0"/>
                <w:w w:val="100"/>
                <w:position w:val="0"/>
                <w:sz w:val="13"/>
                <w:szCs w:val="13"/>
                <w:shd w:val="clear" w:color="auto" w:fill="auto"/>
                <w:lang w:val="ru-RU" w:eastAsia="ru-RU" w:bidi="ru-RU"/>
              </w:rPr>
              <w:t>Цена за единиц У, руб-</w:t>
            </w:r>
          </w:p>
        </w:tc>
      </w:tr>
      <w:tr>
        <w:trPr>
          <w:trHeight w:val="307" w:hRule="exact"/>
        </w:trPr>
        <w:tc>
          <w:tcPr>
            <w:gridSpan w:val="4"/>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Оказание услуг по содержанию и обслуживанию внутриквартальных проездов, расположенных на территории микрорайонов Восточный, Финский, Энергетиков, Западный, Геология города Нягани</w:t>
            </w:r>
          </w:p>
        </w:tc>
      </w:tr>
      <w:tr>
        <w:trPr>
          <w:trHeight w:val="154"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1</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Очистка проездов от свежевыпавшего снега без вывоза</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м2</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0,36</w:t>
            </w:r>
          </w:p>
        </w:tc>
      </w:tr>
      <w:tr>
        <w:trPr>
          <w:trHeight w:val="307"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2</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Очистка проездов от слежавшегося снега и наледи, выравнивание поверхности до основания</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м2</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0,55</w:t>
            </w:r>
          </w:p>
        </w:tc>
      </w:tr>
      <w:tr>
        <w:trPr>
          <w:trHeight w:val="168"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3</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Россыпь противогололедного материала (со стоимостью материала)</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м2</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2,58</w:t>
            </w:r>
          </w:p>
        </w:tc>
      </w:tr>
      <w:tr>
        <w:trPr>
          <w:trHeight w:val="307"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4</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Механизированный сбор, погрузка снега, и транспортировка снега на площадку временного хранения, расположенной на 2 км автодороги «г. Нягань - и. Талинка»</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м3</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337,64</w:t>
            </w:r>
          </w:p>
        </w:tc>
      </w:tr>
      <w:tr>
        <w:trPr>
          <w:trHeight w:val="182"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Начальная сумма цен единиц услуг:</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341,13</w:t>
            </w:r>
          </w:p>
        </w:tc>
      </w:tr>
    </w:tbl>
    <w:p>
      <w:pPr>
        <w:widowControl w:val="0"/>
        <w:spacing w:after="159" w:line="1" w:lineRule="exact"/>
      </w:pPr>
    </w:p>
    <w:p>
      <w:pPr>
        <w:pStyle w:val="Style14"/>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Таким образом, Заказчику необходимы услуги по содержанию и обслуживанию внутриквартальных проездов, расположенных на территории микрорайонов Восточный, Финский, Энергетиков, Западный, Геология города Нягани, код ОКПД 2 который использует Заказчик — 81.29.19.000 «Услуги по чистке и уборке прочие, не включенные в другие группировки».</w:t>
      </w:r>
    </w:p>
    <w:p>
      <w:pPr>
        <w:pStyle w:val="Style14"/>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Код ОКПД 2, который в своей жалобе указывает Заявитель - 42.11.20.300 «Работы по содержанию автомобильных дорог».</w:t>
      </w:r>
    </w:p>
    <w:p>
      <w:pPr>
        <w:pStyle w:val="Style14"/>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 xml:space="preserve">Согласно п. 9 ст. 5 Федерального закона от 08.11.2007 И 257-ФЗ (ред. от 04.08.2023) «Об автомобильных дорогах и о дорожной деятельности в Российской Федеращщ и о внесении изменений в отдельные законодательные акты Российской Федерации» автомобильными дорогами общего пользования местного значения городского и сельского поселений являются автомобильные дороги общего пользования в границах населенных пунктов поселения, за исключением автомобильных дорог общего пользования федерального, регионального или межмуниципального значения, частных автомобильных дорог. Перечень автомобильных дорог общего пользования местного значения городского поселения может утверждаться органом местного самоуправления городского поселения. Перечень автомобильных дорог общего пользования местного значения сельского поселения может утверждаться органом самоуправления муниципального района, если законом субъекта Российской Федерации вопрос осуществления дорожной деятельности в отношении автомобильных дорог местного значения не отнесен к числу </w:t>
      </w:r>
      <w:r>
        <w:rPr>
          <w:color w:val="000000"/>
          <w:spacing w:val="0"/>
          <w:w w:val="100"/>
          <w:position w:val="0"/>
          <w:shd w:val="clear" w:color="auto" w:fill="auto"/>
          <w:lang w:val="ru-RU" w:eastAsia="ru-RU" w:bidi="ru-RU"/>
        </w:rPr>
        <w:t>полномочий, закрепленных за сельским поселением.</w:t>
      </w:r>
    </w:p>
    <w:p>
      <w:pPr>
        <w:pStyle w:val="Style1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Постановлением Администрации города Нягани от 11.07.2022 № 2179 утвержден Перечень автомобильных дорог общего пользования местного значения, находящихся на территории города Нягани, куда внутриквартальные проезды, расположенных на территории микрорайонов Восточный, Финский, Энергетиков, Западный, Геология города Нягани не входят.</w:t>
      </w:r>
    </w:p>
    <w:p>
      <w:pPr>
        <w:pStyle w:val="Style1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соответствии с п. 3.1.2 свода правил СП 476.1325800.2020 «Территории городских и сельских поселений. Правила планировки, застройки и благоустройства жилых микрорайонов» (утв. приказом Министерства строительства и жилищно-коммунального хозяйства РФ от 24 января 2020 г. И 33/пр) внутриквартальный проезд: Проезжая часть территории квартала вне красных линий, используемая как элемент внутриквартальной коммуникационной системы, связанной с улично-дорожной сетью (ХДС), предназначенная для обслуживания застройки.</w:t>
      </w:r>
    </w:p>
    <w:p>
      <w:pPr>
        <w:pStyle w:val="Style1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Внутриквартальный проезд является элементом внутриквартальной коммуникационной системы, связанного с улично-дорожной сетью.</w:t>
      </w:r>
    </w:p>
    <w:p>
      <w:pPr>
        <w:pStyle w:val="Style1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Согласно письму ФАС России № ИА/19176/19 от 13.03.2019 Заказчик выбирает способ определения поставщика (подрядчика, исполнителя), исходя из предмета закупки. При этом код ОКПД2 определяется заказчиком. самостоятельно путем соотнесения предмета закупки к соответствующему коду и наименованию позиции ОКПД 2 с учетом специфики закупки в области применения. Вместе с тем, ФАС России обращает внимание, что выбор кода из ОКПД 2 не должен осуществляться с целью изменения способа определения поставщика (подрядчика, исполнителя) или иных неправомерных действий, которые могут возникнуть, в случае указания неверного кода.</w:t>
      </w:r>
    </w:p>
    <w:p>
      <w:pPr>
        <w:pStyle w:val="Style1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Таким образом, Заказчик формировал описание объекта закупки, исходя из необходимости получить услугу, полностью удовлетворяющую потребностям Заказчика, в связи с чем применил ОКПД 2 81.29.19.000 - Услуги по чистке и уборке прочие, не включенные в другие группировки.</w:t>
      </w:r>
    </w:p>
    <w:p>
      <w:pPr>
        <w:pStyle w:val="Style14"/>
        <w:keepNext w:val="0"/>
        <w:keepLines w:val="0"/>
        <w:widowControl w:val="0"/>
        <w:shd w:val="clear" w:color="auto" w:fill="auto"/>
        <w:bidi w:val="0"/>
        <w:spacing w:before="0" w:after="180" w:line="240" w:lineRule="auto"/>
        <w:ind w:left="0" w:right="0" w:firstLine="460"/>
        <w:jc w:val="both"/>
      </w:pPr>
      <w:r>
        <w:rPr>
          <w:color w:val="000000"/>
          <w:spacing w:val="0"/>
          <w:w w:val="100"/>
          <w:position w:val="0"/>
          <w:shd w:val="clear" w:color="auto" w:fill="auto"/>
          <w:lang w:val="ru-RU" w:eastAsia="ru-RU" w:bidi="ru-RU"/>
        </w:rPr>
        <w:t>На основании вышеизложенного, применение кода ОКПД 81.29.19.000 соответствует предмету аукциона, довод Заявителя является необоснованным.</w:t>
      </w:r>
    </w:p>
    <w:p>
      <w:pPr>
        <w:pStyle w:val="Style12"/>
        <w:keepNext/>
        <w:keepLines/>
        <w:widowControl w:val="0"/>
        <w:shd w:val="clear" w:color="auto" w:fill="auto"/>
        <w:bidi w:val="0"/>
        <w:spacing w:before="0" w:after="0" w:line="240" w:lineRule="auto"/>
        <w:ind w:left="0" w:right="0" w:firstLine="460"/>
        <w:jc w:val="both"/>
      </w:pPr>
      <w:bookmarkStart w:id="18" w:name="bookmark18"/>
      <w:r>
        <w:rPr>
          <w:color w:val="000000"/>
          <w:spacing w:val="0"/>
          <w:w w:val="100"/>
          <w:position w:val="0"/>
          <w:shd w:val="clear" w:color="auto" w:fill="auto"/>
          <w:lang w:val="ru-RU" w:eastAsia="ru-RU" w:bidi="ru-RU"/>
        </w:rPr>
        <w:t>Относительно второго довода жалобы Комиссия Управления поясняет следующее.</w:t>
      </w:r>
      <w:bookmarkEnd w:id="18"/>
    </w:p>
    <w:p>
      <w:pPr>
        <w:pStyle w:val="Style1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Пунктом 2.5 описания объекта закупки определено, что качество оказанных услуг соответствует требованиям и нормам, указанным в решении Думы города Нягани от 28 октября 2022 года № 135 «Об утверждении Правил благоустройства на территории города Нягани».</w:t>
      </w:r>
    </w:p>
    <w:p>
      <w:pPr>
        <w:pStyle w:val="Style1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 xml:space="preserve">Согласно пункту 1.3. Правил благоустройства на территории города Нягани объекты санитарной очистки - территория домовладений, уличные, межквартальные и внутриквартальные проезды, объекты культурно-бытового назначения, территории предприятий, учреждений и организаций различных форм собственности, места общего пользования. Санитарная очистка территорий - работы, связанные со сбором, удалением </w:t>
      </w:r>
      <w:r>
        <w:rPr>
          <w:i/>
          <w:iCs/>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вывозом твердых коммунальных отходов и крупногабаритного мусора, покосом травы, устранением загрязнений, снега, льда, наледи, обработкой противогололедными составами.</w:t>
      </w:r>
    </w:p>
    <w:p>
      <w:pPr>
        <w:pStyle w:val="Style1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Также в пункте 1.3. Правил благоустройства на территории города Нягани указано, что содержание территории - виды деятельности, связанные с выполнением работ, в результате которых создается и поддерживается надлежащее техническое и эксплуатационное состояние территории и ее структурных элементов, в том числе работы по регулярной санитарной очистке территории, уборке усовершенствованных покрытий тротуаров, дворов, внутриквартальных проездов, сбор и вывоз твердых коммунальных отходов, содержание в чистоте и надлежащем санитарном и техническом состоянии мест установки контейнеров для твердых коммунальных отходов и самих контейнеров, уход за зелеными насаждениями, поддержание в чистоте и исправном состоянии не заасфальтированных участков дворов, спортивных, детских и других площадок, малых архитектурных форм, во дворах, где имеются не канализированные домовладения, вывоз жидких бытовых отходов, дезинфекция и содержание в чистоте туалетов, выгребов, стационарных мусоросборников и других устройств для хранения твердых коммунальных отходов, ремонт и устранение незначительных неисправностей элементов обустройства территории, малых архитектурных форм и прочие работы.</w:t>
      </w:r>
    </w:p>
    <w:p>
      <w:pPr>
        <w:pStyle w:val="Style1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 xml:space="preserve">Таким образом, Заказчиком обоснованно применяются требования по соблюдению Правил </w:t>
      </w:r>
      <w:r>
        <w:rPr>
          <w:color w:val="000000"/>
          <w:spacing w:val="0"/>
          <w:w w:val="100"/>
          <w:position w:val="0"/>
          <w:shd w:val="clear" w:color="auto" w:fill="auto"/>
          <w:lang w:val="ru-RU" w:eastAsia="ru-RU" w:bidi="ru-RU"/>
        </w:rPr>
        <w:t>благоустройства на территории города Нягани, утвержденных решением Думы города Нягани от 28.10.2002 №135, которые содержат общие требования к содержанию территорий города Нягани.</w:t>
      </w:r>
    </w:p>
    <w:p>
      <w:pPr>
        <w:pStyle w:val="Style14"/>
        <w:keepNext w:val="0"/>
        <w:keepLines w:val="0"/>
        <w:widowControl w:val="0"/>
        <w:shd w:val="clear" w:color="auto" w:fill="auto"/>
        <w:bidi w:val="0"/>
        <w:spacing w:before="0" w:after="160" w:line="240" w:lineRule="auto"/>
        <w:ind w:left="0" w:right="0" w:firstLine="480"/>
        <w:jc w:val="both"/>
      </w:pPr>
      <w:r>
        <w:rPr>
          <w:color w:val="000000"/>
          <w:spacing w:val="0"/>
          <w:w w:val="100"/>
          <w:position w:val="0"/>
          <w:shd w:val="clear" w:color="auto" w:fill="auto"/>
          <w:lang w:val="ru-RU" w:eastAsia="ru-RU" w:bidi="ru-RU"/>
        </w:rPr>
        <w:t>На основании изложенного, довод Заявителя является необоснованными.</w:t>
      </w:r>
    </w:p>
    <w:p>
      <w:pPr>
        <w:pStyle w:val="Style12"/>
        <w:keepNext/>
        <w:keepLines/>
        <w:widowControl w:val="0"/>
        <w:shd w:val="clear" w:color="auto" w:fill="auto"/>
        <w:bidi w:val="0"/>
        <w:spacing w:before="0" w:after="0" w:line="252" w:lineRule="auto"/>
        <w:ind w:left="0" w:right="0" w:firstLine="480"/>
        <w:jc w:val="both"/>
      </w:pPr>
      <w:bookmarkStart w:id="20" w:name="bookmark20"/>
      <w:r>
        <w:rPr>
          <w:color w:val="000000"/>
          <w:spacing w:val="0"/>
          <w:w w:val="100"/>
          <w:position w:val="0"/>
          <w:shd w:val="clear" w:color="auto" w:fill="auto"/>
          <w:lang w:val="ru-RU" w:eastAsia="ru-RU" w:bidi="ru-RU"/>
        </w:rPr>
        <w:t>Относительно третьего довода жалобы Комиссия Управления поясняет следующее.</w:t>
      </w:r>
      <w:bookmarkEnd w:id="20"/>
    </w:p>
    <w:p>
      <w:pPr>
        <w:pStyle w:val="Style14"/>
        <w:keepNext w:val="0"/>
        <w:keepLines w:val="0"/>
        <w:widowControl w:val="0"/>
        <w:shd w:val="clear" w:color="auto" w:fill="auto"/>
        <w:bidi w:val="0"/>
        <w:spacing w:before="0" w:after="0" w:line="252" w:lineRule="auto"/>
        <w:ind w:left="0" w:right="0" w:firstLine="480"/>
        <w:jc w:val="both"/>
      </w:pPr>
      <w:r>
        <w:rPr>
          <w:color w:val="000000"/>
          <w:spacing w:val="0"/>
          <w:w w:val="100"/>
          <w:position w:val="0"/>
          <w:shd w:val="clear" w:color="auto" w:fill="auto"/>
          <w:lang w:val="ru-RU" w:eastAsia="ru-RU" w:bidi="ru-RU"/>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52" w:lineRule="auto"/>
        <w:ind w:left="0" w:right="0" w:firstLine="480"/>
        <w:jc w:val="both"/>
      </w:pPr>
      <w:r>
        <w:rPr>
          <w:color w:val="000000"/>
          <w:spacing w:val="0"/>
          <w:w w:val="100"/>
          <w:position w:val="0"/>
          <w:shd w:val="clear" w:color="auto" w:fill="auto"/>
          <w:lang w:val="ru-RU" w:eastAsia="ru-RU" w:bidi="ru-RU"/>
        </w:rPr>
        <w:t>В Приложении № 1 к проекту Контракта в пункту 1.1. указано, что услуги по очистке территории осуществляются в утренние часы до начала рабочего времени (с 5:00 до 8:00 часов). Также согласно пункту 1.2. Приложения № 1 к проекту Контракта услуги по очистке внутриквартальных проездов осуществляются по заявке муниципального Заказчика.</w:t>
      </w:r>
    </w:p>
    <w:p>
      <w:pPr>
        <w:pStyle w:val="Style14"/>
        <w:keepNext w:val="0"/>
        <w:keepLines w:val="0"/>
        <w:widowControl w:val="0"/>
        <w:shd w:val="clear" w:color="auto" w:fill="auto"/>
        <w:bidi w:val="0"/>
        <w:spacing w:before="0" w:after="0" w:line="252" w:lineRule="auto"/>
        <w:ind w:left="0" w:right="0" w:firstLine="480"/>
        <w:jc w:val="both"/>
      </w:pPr>
      <w:r>
        <w:rPr>
          <w:color w:val="000000"/>
          <w:spacing w:val="0"/>
          <w:w w:val="100"/>
          <w:position w:val="0"/>
          <w:shd w:val="clear" w:color="auto" w:fill="auto"/>
          <w:lang w:val="ru-RU" w:eastAsia="ru-RU" w:bidi="ru-RU"/>
        </w:rPr>
        <w:t>Между тем, Заказчик в проекте Контракта не указывает каким образом передаются данные заявки Исполнителю, в какой срок необходимо произвести очистку внутриквартальных проездов после получения заявки Исполнителем, что может привести к ненадлежащему исполнению Контракта Победителем закупки.</w:t>
      </w:r>
    </w:p>
    <w:p>
      <w:pPr>
        <w:pStyle w:val="Style14"/>
        <w:keepNext w:val="0"/>
        <w:keepLines w:val="0"/>
        <w:widowControl w:val="0"/>
        <w:shd w:val="clear" w:color="auto" w:fill="auto"/>
        <w:bidi w:val="0"/>
        <w:spacing w:before="0" w:after="0" w:line="252" w:lineRule="auto"/>
        <w:ind w:left="0" w:right="0" w:firstLine="480"/>
        <w:jc w:val="both"/>
      </w:pPr>
      <w:r>
        <w:rPr>
          <w:color w:val="000000"/>
          <w:spacing w:val="0"/>
          <w:w w:val="100"/>
          <w:position w:val="0"/>
          <w:shd w:val="clear" w:color="auto" w:fill="auto"/>
          <w:lang w:val="ru-RU" w:eastAsia="ru-RU" w:bidi="ru-RU"/>
        </w:rPr>
        <w:t>Таким образом в проекте Контракта содержится неполная информация, что является нарушением части 3 статьи 7 Закона о контрактной системе.</w:t>
      </w:r>
    </w:p>
    <w:p>
      <w:pPr>
        <w:pStyle w:val="Style14"/>
        <w:keepNext w:val="0"/>
        <w:keepLines w:val="0"/>
        <w:widowControl w:val="0"/>
        <w:shd w:val="clear" w:color="auto" w:fill="auto"/>
        <w:bidi w:val="0"/>
        <w:spacing w:before="0" w:after="160" w:line="252" w:lineRule="auto"/>
        <w:ind w:left="0" w:right="0" w:firstLine="480"/>
        <w:jc w:val="both"/>
      </w:pPr>
      <w:r>
        <w:rPr>
          <w:color w:val="000000"/>
          <w:spacing w:val="0"/>
          <w:w w:val="100"/>
          <w:position w:val="0"/>
          <w:shd w:val="clear" w:color="auto" w:fill="auto"/>
          <w:lang w:val="ru-RU" w:eastAsia="ru-RU" w:bidi="ru-RU"/>
        </w:rPr>
        <w:t>На основании вышеизложенного, довод Заявителя является обоснованным, Заказчиком и Уполномоченным органом нарушены положения части 3 статьи 7 Закона о контрактной системе, ответственность за которое предусмотрена частью 1.4 статьи 7.30 Кодекса Российской Федерации об административных правонарушениях.</w:t>
      </w:r>
    </w:p>
    <w:p>
      <w:pPr>
        <w:pStyle w:val="Style14"/>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4"/>
        <w:keepNext w:val="0"/>
        <w:keepLines w:val="0"/>
        <w:widowControl w:val="0"/>
        <w:shd w:val="clear" w:color="auto" w:fill="auto"/>
        <w:bidi w:val="0"/>
        <w:spacing w:before="0" w:after="160" w:line="240" w:lineRule="auto"/>
        <w:ind w:left="0" w:right="0" w:firstLine="480"/>
        <w:jc w:val="both"/>
      </w:pPr>
      <w:r>
        <w:rPr>
          <w:color w:val="000000"/>
          <w:spacing w:val="0"/>
          <w:w w:val="100"/>
          <w:position w:val="0"/>
          <w:shd w:val="clear" w:color="auto" w:fill="auto"/>
          <w:lang w:val="ru-RU" w:eastAsia="ru-RU" w:bidi="ru-RU"/>
        </w:rPr>
        <w:t>Таким образом, Комиссия Управления решила выдать обязательное для исполнения предпи</w:t>
        <w:softHyphen/>
        <w:t>сание.</w:t>
      </w:r>
    </w:p>
    <w:p>
      <w:pPr>
        <w:pStyle w:val="Style14"/>
        <w:keepNext w:val="0"/>
        <w:keepLines w:val="0"/>
        <w:widowControl w:val="0"/>
        <w:shd w:val="clear" w:color="auto" w:fill="auto"/>
        <w:bidi w:val="0"/>
        <w:spacing w:before="0" w:after="160" w:line="240" w:lineRule="auto"/>
        <w:ind w:left="0" w:right="0" w:firstLine="480"/>
        <w:jc w:val="both"/>
      </w:pPr>
      <w:r>
        <w:rPr>
          <w:color w:val="000000"/>
          <w:spacing w:val="0"/>
          <w:w w:val="100"/>
          <w:position w:val="0"/>
          <w:shd w:val="clear" w:color="auto" w:fill="auto"/>
          <w:lang w:val="ru-RU" w:eastAsia="ru-RU" w:bidi="ru-RU"/>
        </w:rPr>
        <w:t>Жалоба индивидуального предпринимателя Кравченко Андрея Геннадьевича (ОГРНИП: 321861700093625, ИНН: 861004994980) № 9417/24 от 20.09.2024 рассмотрена Комиссией Управления в соответствии с требованиями Закона о контрактной системе.</w:t>
      </w:r>
    </w:p>
    <w:p>
      <w:pPr>
        <w:pStyle w:val="Style14"/>
        <w:keepNext w:val="0"/>
        <w:keepLines w:val="0"/>
        <w:widowControl w:val="0"/>
        <w:shd w:val="clear" w:color="auto" w:fill="auto"/>
        <w:bidi w:val="0"/>
        <w:spacing w:before="0" w:after="160" w:line="254" w:lineRule="auto"/>
        <w:ind w:left="0" w:right="0" w:firstLine="480"/>
        <w:jc w:val="both"/>
      </w:pPr>
      <w:r>
        <w:rPr>
          <w:color w:val="000000"/>
          <w:spacing w:val="0"/>
          <w:w w:val="100"/>
          <w:position w:val="0"/>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2"/>
        <w:keepNext/>
        <w:keepLines/>
        <w:widowControl w:val="0"/>
        <w:shd w:val="clear" w:color="auto" w:fill="auto"/>
        <w:bidi w:val="0"/>
        <w:spacing w:before="0" w:after="160" w:line="240" w:lineRule="auto"/>
        <w:ind w:left="0" w:right="0" w:firstLine="0"/>
        <w:jc w:val="center"/>
      </w:pPr>
      <w:bookmarkStart w:id="22" w:name="bookmark22"/>
      <w:r>
        <w:rPr>
          <w:color w:val="000000"/>
          <w:spacing w:val="0"/>
          <w:w w:val="100"/>
          <w:position w:val="0"/>
          <w:shd w:val="clear" w:color="auto" w:fill="auto"/>
          <w:lang w:val="ru-RU" w:eastAsia="ru-RU" w:bidi="ru-RU"/>
        </w:rPr>
        <w:t>РЕШИЛА:</w:t>
      </w:r>
      <w:bookmarkEnd w:id="22"/>
    </w:p>
    <w:p>
      <w:pPr>
        <w:pStyle w:val="Style14"/>
        <w:keepNext w:val="0"/>
        <w:keepLines w:val="0"/>
        <w:widowControl w:val="0"/>
        <w:numPr>
          <w:ilvl w:val="0"/>
          <w:numId w:val="11"/>
        </w:numPr>
        <w:shd w:val="clear" w:color="auto" w:fill="auto"/>
        <w:tabs>
          <w:tab w:pos="716" w:val="left"/>
        </w:tabs>
        <w:bidi w:val="0"/>
        <w:spacing w:before="0" w:after="160" w:line="240" w:lineRule="auto"/>
        <w:ind w:left="0" w:right="0" w:firstLine="520"/>
        <w:jc w:val="both"/>
      </w:pPr>
      <w:r>
        <w:rPr>
          <w:color w:val="000000"/>
          <w:spacing w:val="0"/>
          <w:w w:val="100"/>
          <w:position w:val="0"/>
          <w:shd w:val="clear" w:color="auto" w:fill="auto"/>
          <w:lang w:val="ru-RU" w:eastAsia="ru-RU" w:bidi="ru-RU"/>
        </w:rPr>
        <w:t>Признать жалобу индивидуального предпринимателя Кравченко Андрея Геннадьевича (ОГРНИП: 321861700093625, ИНН: 861004994980) № 9417/24 от 20.09.2024 на действия Заказчика — муниципального казенного учреждения города Нягани «Управление городского хозяйства», Уполномоченного органа — Администрации города Нягани при проведении электронного аукциона, объектом которого является . «Оказание услуг по содержанию и обслуживанию внутриквартальных проездов, расположенных на территории микрорайонов Восточный, Финский, Энергетиков, Западный, Геология города Нягани» (извещение №</w:t>
      </w:r>
      <w:r>
        <w:br w:type="page"/>
      </w:r>
    </w:p>
    <w:p>
      <w:pPr>
        <w:pStyle w:val="Style14"/>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ru-RU" w:eastAsia="ru-RU" w:bidi="ru-RU"/>
        </w:rPr>
        <w:t>0187300008124000244)частично обоснованной:</w:t>
      </w:r>
    </w:p>
    <w:p>
      <w:pPr>
        <w:pStyle w:val="Style14"/>
        <w:keepNext w:val="0"/>
        <w:keepLines w:val="0"/>
        <w:widowControl w:val="0"/>
        <w:numPr>
          <w:ilvl w:val="1"/>
          <w:numId w:val="11"/>
        </w:numPr>
        <w:shd w:val="clear" w:color="auto" w:fill="auto"/>
        <w:tabs>
          <w:tab w:pos="806" w:val="left"/>
        </w:tabs>
        <w:bidi w:val="0"/>
        <w:spacing w:before="0" w:after="0" w:line="252" w:lineRule="auto"/>
        <w:ind w:left="0" w:right="0" w:firstLine="460"/>
        <w:jc w:val="both"/>
      </w:pPr>
      <w:r>
        <w:rPr>
          <w:color w:val="000000"/>
          <w:spacing w:val="0"/>
          <w:w w:val="100"/>
          <w:position w:val="0"/>
          <w:shd w:val="clear" w:color="auto" w:fill="auto"/>
          <w:lang w:val="ru-RU" w:eastAsia="ru-RU" w:bidi="ru-RU"/>
        </w:rPr>
        <w:t>Первый довод необоснованный.</w:t>
      </w:r>
    </w:p>
    <w:p>
      <w:pPr>
        <w:pStyle w:val="Style14"/>
        <w:keepNext w:val="0"/>
        <w:keepLines w:val="0"/>
        <w:widowControl w:val="0"/>
        <w:numPr>
          <w:ilvl w:val="1"/>
          <w:numId w:val="11"/>
        </w:numPr>
        <w:shd w:val="clear" w:color="auto" w:fill="auto"/>
        <w:tabs>
          <w:tab w:pos="806" w:val="left"/>
        </w:tabs>
        <w:bidi w:val="0"/>
        <w:spacing w:before="0" w:after="0" w:line="252" w:lineRule="auto"/>
        <w:ind w:left="0" w:right="0" w:firstLine="460"/>
        <w:jc w:val="both"/>
      </w:pPr>
      <w:r>
        <w:rPr>
          <w:color w:val="000000"/>
          <w:spacing w:val="0"/>
          <w:w w:val="100"/>
          <w:position w:val="0"/>
          <w:shd w:val="clear" w:color="auto" w:fill="auto"/>
          <w:lang w:val="ru-RU" w:eastAsia="ru-RU" w:bidi="ru-RU"/>
        </w:rPr>
        <w:t>Второй довод необоснованный.</w:t>
      </w:r>
    </w:p>
    <w:p>
      <w:pPr>
        <w:pStyle w:val="Style14"/>
        <w:keepNext w:val="0"/>
        <w:keepLines w:val="0"/>
        <w:widowControl w:val="0"/>
        <w:numPr>
          <w:ilvl w:val="1"/>
          <w:numId w:val="11"/>
        </w:numPr>
        <w:shd w:val="clear" w:color="auto" w:fill="auto"/>
        <w:tabs>
          <w:tab w:pos="806" w:val="left"/>
        </w:tabs>
        <w:bidi w:val="0"/>
        <w:spacing w:before="0" w:after="0" w:line="252" w:lineRule="auto"/>
        <w:ind w:left="0" w:right="0" w:firstLine="460"/>
        <w:jc w:val="both"/>
      </w:pPr>
      <w:r>
        <w:rPr>
          <w:color w:val="000000"/>
          <w:spacing w:val="0"/>
          <w:w w:val="100"/>
          <w:position w:val="0"/>
          <w:shd w:val="clear" w:color="auto" w:fill="auto"/>
          <w:lang w:val="ru-RU" w:eastAsia="ru-RU" w:bidi="ru-RU"/>
        </w:rPr>
        <w:t>Третий довод обоснованный.</w:t>
      </w:r>
    </w:p>
    <w:p>
      <w:pPr>
        <w:pStyle w:val="Style14"/>
        <w:keepNext w:val="0"/>
        <w:keepLines w:val="0"/>
        <w:widowControl w:val="0"/>
        <w:numPr>
          <w:ilvl w:val="0"/>
          <w:numId w:val="11"/>
        </w:numPr>
        <w:shd w:val="clear" w:color="auto" w:fill="auto"/>
        <w:tabs>
          <w:tab w:pos="702" w:val="left"/>
        </w:tabs>
        <w:bidi w:val="0"/>
        <w:spacing w:before="0" w:after="0" w:line="252" w:lineRule="auto"/>
        <w:ind w:left="0" w:right="0" w:firstLine="480"/>
        <w:jc w:val="both"/>
      </w:pPr>
      <w:r>
        <w:rPr>
          <w:color w:val="000000"/>
          <w:spacing w:val="0"/>
          <w:w w:val="100"/>
          <w:position w:val="0"/>
          <w:shd w:val="clear" w:color="auto" w:fill="auto"/>
          <w:lang w:val="ru-RU" w:eastAsia="ru-RU" w:bidi="ru-RU"/>
        </w:rPr>
        <w:t>Признать в действиях Заказчика — муниципального казенного учреждения города Нягани «Управление городского хозяйства», Уполномоченного органа — Администрации города Нягани нарушение положений части 3 статьи 7 Федерального закона от 05.04.2013 К 44-ФЗ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numPr>
          <w:ilvl w:val="0"/>
          <w:numId w:val="11"/>
        </w:numPr>
        <w:shd w:val="clear" w:color="auto" w:fill="auto"/>
        <w:tabs>
          <w:tab w:pos="1133" w:val="left"/>
          <w:tab w:pos="6197" w:val="left"/>
        </w:tabs>
        <w:bidi w:val="0"/>
        <w:spacing w:before="0" w:after="0" w:line="252" w:lineRule="auto"/>
        <w:ind w:left="0" w:right="0" w:firstLine="480"/>
        <w:jc w:val="both"/>
      </w:pPr>
      <w:r>
        <w:rPr>
          <w:color w:val="000000"/>
          <w:spacing w:val="0"/>
          <w:w w:val="100"/>
          <w:position w:val="0"/>
          <w:shd w:val="clear" w:color="auto" w:fill="auto"/>
          <w:lang w:val="ru-RU" w:eastAsia="ru-RU" w:bidi="ru-RU"/>
        </w:rPr>
        <w:t>Выдать обязательное для исполнения предписание.</w:t>
        <w:tab/>
      </w:r>
      <w:r>
        <w:rPr>
          <w:color w:val="5443AD"/>
          <w:spacing w:val="0"/>
          <w:w w:val="100"/>
          <w:position w:val="0"/>
          <w:shd w:val="clear" w:color="auto" w:fill="auto"/>
          <w:lang w:val="ru-RU" w:eastAsia="ru-RU" w:bidi="ru-RU"/>
        </w:rPr>
        <w:t>__</w:t>
      </w:r>
    </w:p>
    <w:p>
      <w:pPr>
        <w:pStyle w:val="Style14"/>
        <w:keepNext w:val="0"/>
        <w:keepLines w:val="0"/>
        <w:widowControl w:val="0"/>
        <w:numPr>
          <w:ilvl w:val="0"/>
          <w:numId w:val="11"/>
        </w:numPr>
        <w:shd w:val="clear" w:color="auto" w:fill="auto"/>
        <w:tabs>
          <w:tab w:pos="702" w:val="left"/>
        </w:tabs>
        <w:bidi w:val="0"/>
        <w:spacing w:before="0" w:after="0" w:line="252" w:lineRule="auto"/>
        <w:ind w:left="0" w:right="0" w:firstLine="480"/>
        <w:jc w:val="both"/>
      </w:pPr>
      <w:r>
        <w:rPr>
          <w:color w:val="000000"/>
          <w:spacing w:val="0"/>
          <w:w w:val="100"/>
          <w:position w:val="0"/>
          <w:shd w:val="clear" w:color="auto" w:fill="auto"/>
          <w:lang w:val="ru-RU" w:eastAsia="ru-RU" w:bidi="ru-RU"/>
        </w:rPr>
        <w:t>Передать уполномоченному должностному лицу Ханты-Мансийского УФАк России материалы дела для рассмотрения вопроса о привлечении должностных пйцЛ шшустишпих нарушение требований Закона о контрактной системе, к административной отаетстве/ности/</w:t>
      </w:r>
    </w:p>
    <w:p>
      <w:pPr>
        <w:pStyle w:val="Style14"/>
        <w:keepNext w:val="0"/>
        <w:keepLines w:val="0"/>
        <w:widowControl w:val="0"/>
        <w:numPr>
          <w:ilvl w:val="0"/>
          <w:numId w:val="11"/>
        </w:numPr>
        <w:shd w:val="clear" w:color="auto" w:fill="auto"/>
        <w:tabs>
          <w:tab w:pos="702" w:val="left"/>
          <w:tab w:pos="5026" w:val="left"/>
          <w:tab w:pos="5338" w:val="left"/>
          <w:tab w:pos="5818" w:val="left"/>
        </w:tabs>
        <w:bidi w:val="0"/>
        <w:spacing w:before="0" w:after="520" w:line="252" w:lineRule="auto"/>
        <w:ind w:left="0" w:right="0" w:firstLine="480"/>
        <w:jc w:val="both"/>
      </w:pPr>
      <w:r>
        <w:rPr>
          <w:color w:val="000000"/>
          <w:spacing w:val="0"/>
          <w:w w:val="100"/>
          <w:position w:val="0"/>
          <w:shd w:val="clear" w:color="auto" w:fill="auto"/>
          <w:lang w:val="ru-RU" w:eastAsia="ru-RU" w:bidi="ru-RU"/>
        </w:rPr>
        <w:t>Направить данное решение сторонам и опубликовать на официальном/сайтр' единой информационной системы в сфере закупок (т™.гакирк1.§оули).</w:t>
        <w:tab/>
      </w:r>
      <w:r>
        <w:rPr>
          <w:color w:val="28177D"/>
          <w:spacing w:val="0"/>
          <w:w w:val="100"/>
          <w:position w:val="0"/>
          <w:shd w:val="clear" w:color="auto" w:fill="auto"/>
          <w:lang w:val="ru-RU" w:eastAsia="ru-RU" w:bidi="ru-RU"/>
        </w:rPr>
        <w:t>/</w:t>
        <w:tab/>
        <w:t>/ ■</w:t>
        <w:tab/>
        <w:t>/</w:t>
      </w:r>
    </w:p>
    <w:p>
      <w:pPr>
        <w:pStyle w:val="Style14"/>
        <w:keepNext w:val="0"/>
        <w:keepLines w:val="0"/>
        <w:widowControl w:val="0"/>
        <w:shd w:val="clear" w:color="auto" w:fill="auto"/>
        <w:bidi w:val="0"/>
        <w:spacing w:before="0" w:after="52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4"/>
        <w:keepNext w:val="0"/>
        <w:keepLines w:val="0"/>
        <w:widowControl w:val="0"/>
        <w:shd w:val="clear" w:color="auto" w:fill="auto"/>
        <w:bidi w:val="0"/>
        <w:spacing w:before="0" w:after="52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320" w:line="240" w:lineRule="auto"/>
        <w:ind w:left="0" w:right="440" w:firstLine="0"/>
        <w:jc w:val="right"/>
      </w:pPr>
      <w:r>
        <mc:AlternateContent>
          <mc:Choice Requires="wps">
            <w:drawing>
              <wp:anchor distT="0" distB="450850" distL="114300" distR="212090" simplePos="0" relativeHeight="125829378" behindDoc="0" locked="0" layoutInCell="1" allowOverlap="1">
                <wp:simplePos x="0" y="0"/>
                <wp:positionH relativeFrom="page">
                  <wp:posOffset>4049395</wp:posOffset>
                </wp:positionH>
                <wp:positionV relativeFrom="margin">
                  <wp:posOffset>2479675</wp:posOffset>
                </wp:positionV>
                <wp:extent cx="667385" cy="125095"/>
                <wp:wrapSquare wrapText="left"/>
                <wp:docPr id="6" name="Shape 6"/>
                <a:graphic xmlns:a="http://schemas.openxmlformats.org/drawingml/2006/main">
                  <a:graphicData uri="http://schemas.microsoft.com/office/word/2010/wordprocessingShape">
                    <wps:wsp>
                      <wps:cNvSpPr txBox="1"/>
                      <wps:spPr>
                        <a:xfrm>
                          <a:ext cx="667385" cy="12509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Р.Р. Валиуллин</w:t>
                            </w:r>
                          </w:p>
                        </w:txbxContent>
                      </wps:txbx>
                      <wps:bodyPr wrap="none" lIns="0" tIns="0" rIns="0" bIns="0">
                        <a:noAutoFit/>
                      </wps:bodyPr>
                    </wps:wsp>
                  </a:graphicData>
                </a:graphic>
              </wp:anchor>
            </w:drawing>
          </mc:Choice>
          <mc:Fallback>
            <w:pict>
              <v:shape id="_x0000_s1032" type="#_x0000_t202" style="position:absolute;margin-left:318.85000000000002pt;margin-top:195.25pt;width:52.550000000000004pt;height:9.8499999999999996pt;z-index:-125829375;mso-wrap-distance-left:9.pt;mso-wrap-distance-right:16.699999999999999pt;mso-wrap-distance-bottom:35.5pt;mso-position-horizontal-relative:page;mso-position-vertical-relative:margin"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Р.Р. Валиуллин</w:t>
                      </w:r>
                    </w:p>
                  </w:txbxContent>
                </v:textbox>
                <w10:wrap type="square" side="left" anchorx="page" anchory="margin"/>
              </v:shape>
            </w:pict>
          </mc:Fallback>
        </mc:AlternateContent>
      </w:r>
      <w:r>
        <mc:AlternateContent>
          <mc:Choice Requires="wps">
            <w:drawing>
              <wp:anchor distT="454025" distB="0" distL="123190" distR="114935" simplePos="0" relativeHeight="125829380" behindDoc="0" locked="0" layoutInCell="1" allowOverlap="1">
                <wp:simplePos x="0" y="0"/>
                <wp:positionH relativeFrom="page">
                  <wp:posOffset>4058285</wp:posOffset>
                </wp:positionH>
                <wp:positionV relativeFrom="margin">
                  <wp:posOffset>2933700</wp:posOffset>
                </wp:positionV>
                <wp:extent cx="755650" cy="121920"/>
                <wp:wrapSquare wrapText="left"/>
                <wp:docPr id="8" name="Shape 8"/>
                <a:graphic xmlns:a="http://schemas.openxmlformats.org/drawingml/2006/main">
                  <a:graphicData uri="http://schemas.microsoft.com/office/word/2010/wordprocessingShape">
                    <wps:wsp>
                      <wps:cNvSpPr txBox="1"/>
                      <wps:spPr>
                        <a:xfrm>
                          <a:ext cx="755650" cy="12192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Е.А. Иванникова</w:t>
                            </w:r>
                          </w:p>
                        </w:txbxContent>
                      </wps:txbx>
                      <wps:bodyPr wrap="none" lIns="0" tIns="0" rIns="0" bIns="0">
                        <a:noAutoFit/>
                      </wps:bodyPr>
                    </wps:wsp>
                  </a:graphicData>
                </a:graphic>
              </wp:anchor>
            </w:drawing>
          </mc:Choice>
          <mc:Fallback>
            <w:pict>
              <v:shape id="_x0000_s1034" type="#_x0000_t202" style="position:absolute;margin-left:319.55000000000001pt;margin-top:231.pt;width:59.5pt;height:9.5999999999999996pt;z-index:-125829373;mso-wrap-distance-left:9.7000000000000011pt;mso-wrap-distance-top:35.75pt;mso-wrap-distance-right:9.0500000000000007pt;mso-position-horizontal-relative:page;mso-position-vertical-relative:margin"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Е.А. Иванникова</w:t>
                      </w:r>
                    </w:p>
                  </w:txbxContent>
                </v:textbox>
                <w10:wrap type="square" side="left" anchorx="page" anchory="margin"/>
              </v:shape>
            </w:pict>
          </mc:Fallback>
        </mc:AlternateContent>
      </w:r>
      <w:r>
        <w:rPr>
          <w:color w:val="000000"/>
          <w:spacing w:val="0"/>
          <w:w w:val="100"/>
          <w:position w:val="0"/>
          <w:shd w:val="clear" w:color="auto" w:fill="auto"/>
          <w:lang w:val="ru-RU" w:eastAsia="ru-RU" w:bidi="ru-RU"/>
        </w:rPr>
        <w:t>М.С. Смоль</w:t>
      </w:r>
    </w:p>
    <w:p>
      <w:pPr>
        <w:pStyle w:val="Style28"/>
        <w:keepNext w:val="0"/>
        <w:keepLines w:val="0"/>
        <w:widowControl w:val="0"/>
        <w:shd w:val="clear" w:color="auto" w:fill="auto"/>
        <w:bidi w:val="0"/>
        <w:spacing w:before="0" w:after="0"/>
        <w:ind w:left="0" w:right="0"/>
        <w:jc w:val="left"/>
      </w:pPr>
      <w:r>
        <w:drawing>
          <wp:anchor distT="0" distB="0" distL="0" distR="0" simplePos="0" relativeHeight="62914694" behindDoc="1" locked="0" layoutInCell="1" allowOverlap="1">
            <wp:simplePos x="0" y="0"/>
            <wp:positionH relativeFrom="margin">
              <wp:posOffset>1433830</wp:posOffset>
            </wp:positionH>
            <wp:positionV relativeFrom="margin">
              <wp:posOffset>1468120</wp:posOffset>
            </wp:positionV>
            <wp:extent cx="2956560" cy="2328545"/>
            <wp:wrapNone/>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9"/>
                    <a:stretch/>
                  </pic:blipFill>
                  <pic:spPr>
                    <a:xfrm>
                      <a:ext cx="2956560" cy="2328545"/>
                    </a:xfrm>
                    <a:prstGeom prst="rect"/>
                  </pic:spPr>
                </pic:pic>
              </a:graphicData>
            </a:graphic>
          </wp:anchor>
        </w:drawing>
      </w:r>
      <w:r>
        <w:rPr>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notePr>
        <w:pos w:val="pageBottom"/>
        <w:numFmt w:val="decimal"/>
        <w:numRestart w:val="continuous"/>
      </w:footnotePr>
      <w:type w:val="continuous"/>
      <w:pgSz w:w="8400" w:h="11900"/>
      <w:pgMar w:top="594" w:right="657" w:bottom="1227" w:left="96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659765</wp:posOffset>
              </wp:positionH>
              <wp:positionV relativeFrom="page">
                <wp:posOffset>6840855</wp:posOffset>
              </wp:positionV>
              <wp:extent cx="423545" cy="73025"/>
              <wp:wrapNone/>
              <wp:docPr id="2" name="Shape 2"/>
              <a:graphic xmlns:a="http://schemas.openxmlformats.org/drawingml/2006/main">
                <a:graphicData uri="http://schemas.microsoft.com/office/word/2010/wordprocessingShape">
                  <wps:wsp>
                    <wps:cNvSpPr txBox="1"/>
                    <wps:spPr>
                      <a:xfrm>
                        <a:ext cx="423545"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2024-7134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1.950000000000003pt;margin-top:538.64999999999998pt;width:33.350000000000001pt;height:5.7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2024-7134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702945</wp:posOffset>
              </wp:positionH>
              <wp:positionV relativeFrom="page">
                <wp:posOffset>6717030</wp:posOffset>
              </wp:positionV>
              <wp:extent cx="433070" cy="69850"/>
              <wp:wrapNone/>
              <wp:docPr id="4" name="Shape 4"/>
              <a:graphic xmlns:a="http://schemas.openxmlformats.org/drawingml/2006/main">
                <a:graphicData uri="http://schemas.microsoft.com/office/word/2010/wordprocessingShape">
                  <wps:wsp>
                    <wps:cNvSpPr txBox="1"/>
                    <wps:spPr>
                      <a:xfrm>
                        <a:ext cx="4330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2024-7134</w:t>
                          </w:r>
                        </w:p>
                      </w:txbxContent>
                    </wps:txbx>
                    <wps:bodyPr wrap="none" lIns="0" tIns="0" rIns="0" bIns="0">
                      <a:spAutoFit/>
                    </wps:bodyPr>
                  </wps:wsp>
                </a:graphicData>
              </a:graphic>
            </wp:anchor>
          </w:drawing>
        </mc:Choice>
        <mc:Fallback>
          <w:pict>
            <v:shape id="_x0000_s1030" type="#_x0000_t202" style="position:absolute;margin-left:55.350000000000001pt;margin-top:528.89999999999998pt;width:34.100000000000001pt;height:5.5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2024-7134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13"/>
      <w:szCs w:val="13"/>
      <w:u w:val="none"/>
    </w:rPr>
  </w:style>
  <w:style w:type="character" w:customStyle="1" w:styleId="CharStyle9">
    <w:name w:val="Заголовок №1_"/>
    <w:basedOn w:val="DefaultParagraphFont"/>
    <w:link w:val="Style8"/>
    <w:rPr>
      <w:rFonts w:ascii="Times New Roman" w:eastAsia="Times New Roman" w:hAnsi="Times New Roman" w:cs="Times New Roman"/>
      <w:b w:val="0"/>
      <w:bCs w:val="0"/>
      <w:i w:val="0"/>
      <w:iCs w:val="0"/>
      <w:smallCaps w:val="0"/>
      <w:strike w:val="0"/>
      <w:color w:val="5443AD"/>
      <w:sz w:val="28"/>
      <w:szCs w:val="28"/>
      <w:u w:val="single"/>
    </w:rPr>
  </w:style>
  <w:style w:type="character" w:customStyle="1" w:styleId="CharStyle13">
    <w:name w:val="Заголовок №3_"/>
    <w:basedOn w:val="DefaultParagraphFont"/>
    <w:link w:val="Style12"/>
    <w:rPr>
      <w:rFonts w:ascii="Times New Roman" w:eastAsia="Times New Roman" w:hAnsi="Times New Roman" w:cs="Times New Roman"/>
      <w:b/>
      <w:bCs/>
      <w:i w:val="0"/>
      <w:iCs w:val="0"/>
      <w:smallCaps w:val="0"/>
      <w:strike w:val="0"/>
      <w:sz w:val="15"/>
      <w:szCs w:val="15"/>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15"/>
      <w:szCs w:val="15"/>
      <w:u w:val="none"/>
    </w:rPr>
  </w:style>
  <w:style w:type="character" w:customStyle="1" w:styleId="CharStyle17">
    <w:name w:val="Заголовок №2_"/>
    <w:basedOn w:val="DefaultParagraphFont"/>
    <w:link w:val="Style16"/>
    <w:rPr>
      <w:rFonts w:ascii="Arial" w:eastAsia="Arial" w:hAnsi="Arial" w:cs="Arial"/>
      <w:b w:val="0"/>
      <w:bCs w:val="0"/>
      <w:i w:val="0"/>
      <w:iCs w:val="0"/>
      <w:smallCaps w:val="0"/>
      <w:strike w:val="0"/>
      <w:u w:val="none"/>
    </w:rPr>
  </w:style>
  <w:style w:type="character" w:customStyle="1" w:styleId="CharStyle19">
    <w:name w:val="Подпись к таблице_"/>
    <w:basedOn w:val="DefaultParagraphFont"/>
    <w:link w:val="Style18"/>
    <w:rPr>
      <w:rFonts w:ascii="Times New Roman" w:eastAsia="Times New Roman" w:hAnsi="Times New Roman" w:cs="Times New Roman"/>
      <w:b/>
      <w:bCs/>
      <w:i w:val="0"/>
      <w:iCs w:val="0"/>
      <w:smallCaps w:val="0"/>
      <w:strike w:val="0"/>
      <w:sz w:val="15"/>
      <w:szCs w:val="15"/>
      <w:u w:val="none"/>
    </w:rPr>
  </w:style>
  <w:style w:type="character" w:customStyle="1" w:styleId="CharStyle22">
    <w:name w:val="Другое_"/>
    <w:basedOn w:val="DefaultParagraphFont"/>
    <w:link w:val="Style21"/>
    <w:rPr>
      <w:rFonts w:ascii="Times New Roman" w:eastAsia="Times New Roman" w:hAnsi="Times New Roman" w:cs="Times New Roman"/>
      <w:b w:val="0"/>
      <w:bCs w:val="0"/>
      <w:i w:val="0"/>
      <w:iCs w:val="0"/>
      <w:smallCaps w:val="0"/>
      <w:strike w:val="0"/>
      <w:sz w:val="15"/>
      <w:szCs w:val="15"/>
      <w:u w:val="none"/>
    </w:rPr>
  </w:style>
  <w:style w:type="character" w:customStyle="1" w:styleId="CharStyle29">
    <w:name w:val="Основной текст (3)_"/>
    <w:basedOn w:val="DefaultParagraphFont"/>
    <w:link w:val="Style28"/>
    <w:rPr>
      <w:rFonts w:ascii="Times New Roman" w:eastAsia="Times New Roman" w:hAnsi="Times New Roman" w:cs="Times New Roman"/>
      <w:b w:val="0"/>
      <w:bCs w:val="0"/>
      <w:i/>
      <w:iCs/>
      <w:smallCaps w:val="0"/>
      <w:strike w:val="0"/>
      <w:sz w:val="10"/>
      <w:szCs w:val="10"/>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line="266" w:lineRule="auto"/>
      <w:jc w:val="center"/>
    </w:pPr>
    <w:rPr>
      <w:rFonts w:ascii="Times New Roman" w:eastAsia="Times New Roman" w:hAnsi="Times New Roman" w:cs="Times New Roman"/>
      <w:b w:val="0"/>
      <w:bCs w:val="0"/>
      <w:i w:val="0"/>
      <w:iCs w:val="0"/>
      <w:smallCaps w:val="0"/>
      <w:strike w:val="0"/>
      <w:sz w:val="13"/>
      <w:szCs w:val="13"/>
      <w:u w:val="none"/>
    </w:rPr>
  </w:style>
  <w:style w:type="paragraph" w:customStyle="1" w:styleId="Style8">
    <w:name w:val="Заголовок №1"/>
    <w:basedOn w:val="Normal"/>
    <w:link w:val="CharStyle9"/>
    <w:pPr>
      <w:widowControl w:val="0"/>
      <w:shd w:val="clear" w:color="auto" w:fill="auto"/>
      <w:spacing w:after="60" w:line="214" w:lineRule="auto"/>
      <w:jc w:val="right"/>
      <w:outlineLvl w:val="0"/>
    </w:pPr>
    <w:rPr>
      <w:rFonts w:ascii="Times New Roman" w:eastAsia="Times New Roman" w:hAnsi="Times New Roman" w:cs="Times New Roman"/>
      <w:b w:val="0"/>
      <w:bCs w:val="0"/>
      <w:i w:val="0"/>
      <w:iCs w:val="0"/>
      <w:smallCaps w:val="0"/>
      <w:strike w:val="0"/>
      <w:color w:val="5443AD"/>
      <w:sz w:val="28"/>
      <w:szCs w:val="28"/>
      <w:u w:val="single"/>
    </w:rPr>
  </w:style>
  <w:style w:type="paragraph" w:customStyle="1" w:styleId="Style12">
    <w:name w:val="Заголовок №3"/>
    <w:basedOn w:val="Normal"/>
    <w:link w:val="CharStyle13"/>
    <w:pPr>
      <w:widowControl w:val="0"/>
      <w:shd w:val="clear" w:color="auto" w:fill="auto"/>
      <w:outlineLvl w:val="2"/>
    </w:pPr>
    <w:rPr>
      <w:rFonts w:ascii="Times New Roman" w:eastAsia="Times New Roman" w:hAnsi="Times New Roman" w:cs="Times New Roman"/>
      <w:b/>
      <w:bCs/>
      <w:i w:val="0"/>
      <w:iCs w:val="0"/>
      <w:smallCaps w:val="0"/>
      <w:strike w:val="0"/>
      <w:sz w:val="15"/>
      <w:szCs w:val="15"/>
      <w:u w:val="none"/>
    </w:rPr>
  </w:style>
  <w:style w:type="paragraph" w:customStyle="1" w:styleId="Style14">
    <w:name w:val="Основной текст"/>
    <w:basedOn w:val="Normal"/>
    <w:link w:val="CharStyle15"/>
    <w:pPr>
      <w:widowControl w:val="0"/>
      <w:shd w:val="clear" w:color="auto" w:fill="auto"/>
      <w:ind w:firstLine="340"/>
    </w:pPr>
    <w:rPr>
      <w:rFonts w:ascii="Times New Roman" w:eastAsia="Times New Roman" w:hAnsi="Times New Roman" w:cs="Times New Roman"/>
      <w:b w:val="0"/>
      <w:bCs w:val="0"/>
      <w:i w:val="0"/>
      <w:iCs w:val="0"/>
      <w:smallCaps w:val="0"/>
      <w:strike w:val="0"/>
      <w:sz w:val="15"/>
      <w:szCs w:val="15"/>
      <w:u w:val="none"/>
    </w:rPr>
  </w:style>
  <w:style w:type="paragraph" w:customStyle="1" w:styleId="Style16">
    <w:name w:val="Заголовок №2"/>
    <w:basedOn w:val="Normal"/>
    <w:link w:val="CharStyle17"/>
    <w:pPr>
      <w:widowControl w:val="0"/>
      <w:shd w:val="clear" w:color="auto" w:fill="auto"/>
      <w:spacing w:after="180"/>
      <w:outlineLvl w:val="1"/>
    </w:pPr>
    <w:rPr>
      <w:rFonts w:ascii="Arial" w:eastAsia="Arial" w:hAnsi="Arial" w:cs="Arial"/>
      <w:b w:val="0"/>
      <w:bCs w:val="0"/>
      <w:i w:val="0"/>
      <w:iCs w:val="0"/>
      <w:smallCaps w:val="0"/>
      <w:strike w:val="0"/>
      <w:u w:val="none"/>
    </w:rPr>
  </w:style>
  <w:style w:type="paragraph" w:customStyle="1" w:styleId="Style18">
    <w:name w:val="Подпись к таблице"/>
    <w:basedOn w:val="Normal"/>
    <w:link w:val="CharStyle19"/>
    <w:pPr>
      <w:widowControl w:val="0"/>
      <w:shd w:val="clear" w:color="auto" w:fill="auto"/>
    </w:pPr>
    <w:rPr>
      <w:rFonts w:ascii="Times New Roman" w:eastAsia="Times New Roman" w:hAnsi="Times New Roman" w:cs="Times New Roman"/>
      <w:b/>
      <w:bCs/>
      <w:i w:val="0"/>
      <w:iCs w:val="0"/>
      <w:smallCaps w:val="0"/>
      <w:strike w:val="0"/>
      <w:sz w:val="15"/>
      <w:szCs w:val="15"/>
      <w:u w:val="none"/>
    </w:rPr>
  </w:style>
  <w:style w:type="paragraph" w:customStyle="1" w:styleId="Style21">
    <w:name w:val="Другое"/>
    <w:basedOn w:val="Normal"/>
    <w:link w:val="CharStyle22"/>
    <w:pPr>
      <w:widowControl w:val="0"/>
      <w:shd w:val="clear" w:color="auto" w:fill="auto"/>
      <w:ind w:firstLine="340"/>
    </w:pPr>
    <w:rPr>
      <w:rFonts w:ascii="Times New Roman" w:eastAsia="Times New Roman" w:hAnsi="Times New Roman" w:cs="Times New Roman"/>
      <w:b w:val="0"/>
      <w:bCs w:val="0"/>
      <w:i w:val="0"/>
      <w:iCs w:val="0"/>
      <w:smallCaps w:val="0"/>
      <w:strike w:val="0"/>
      <w:sz w:val="15"/>
      <w:szCs w:val="15"/>
      <w:u w:val="none"/>
    </w:rPr>
  </w:style>
  <w:style w:type="paragraph" w:customStyle="1" w:styleId="Style28">
    <w:name w:val="Основной текст (3)"/>
    <w:basedOn w:val="Normal"/>
    <w:link w:val="CharStyle29"/>
    <w:pPr>
      <w:widowControl w:val="0"/>
      <w:shd w:val="clear" w:color="auto" w:fill="auto"/>
      <w:spacing w:line="271" w:lineRule="auto"/>
      <w:ind w:firstLine="480"/>
    </w:pPr>
    <w:rPr>
      <w:rFonts w:ascii="Times New Roman" w:eastAsia="Times New Roman" w:hAnsi="Times New Roman" w:cs="Times New Roman"/>
      <w:b w:val="0"/>
      <w:bCs w:val="0"/>
      <w:i/>
      <w:iCs/>
      <w:smallCaps w:val="0"/>
      <w:strike w:val="0"/>
      <w:sz w:val="10"/>
      <w:szCs w:val="1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s>
</file>