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335280" cy="40259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335280" cy="402590"/>
                    </a:xfrm>
                    <a:prstGeom prst="rect"/>
                  </pic:spPr>
                </pic:pic>
              </a:graphicData>
            </a:graphic>
          </wp:inline>
        </w:drawing>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120"/>
        <w:ind w:left="0" w:right="0" w:firstLine="320"/>
        <w:jc w:val="left"/>
      </w:pPr>
      <w:r>
        <w:rPr>
          <w:color w:val="000000"/>
          <w:spacing w:val="0"/>
          <w:w w:val="100"/>
          <w:position w:val="0"/>
          <w:shd w:val="clear" w:color="auto" w:fill="auto"/>
          <w:lang w:val="ru-RU" w:eastAsia="ru-RU" w:bidi="ru-RU"/>
        </w:rPr>
        <w:t>АПТ11МОПОПОЛЫ1ЛЯ СЛУЖБА</w:t>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0"/>
        <w:ind w:left="0" w:right="0" w:firstLine="440"/>
        <w:jc w:val="left"/>
      </w:pPr>
      <w:r>
        <w:rPr>
          <w:color w:val="000000"/>
          <w:spacing w:val="0"/>
          <w:w w:val="100"/>
          <w:position w:val="0"/>
          <w:shd w:val="clear" w:color="auto" w:fill="auto"/>
          <w:lang w:val="ru-RU" w:eastAsia="ru-RU" w:bidi="ru-RU"/>
        </w:rPr>
        <w:t>«Федеральной антимонопольной</w:t>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службы по Ханты-Мансийскому</w:t>
        <w:br/>
        <w:t>автономному Округу - Югре</w:t>
        <w:br/>
        <w:t>ул. Мира, д. 27. Ханты-Мансийск, 628012</w:t>
        <w:br/>
        <w:t>тсясфон/факс +7 (346?) 38-80-81</w:t>
      </w:r>
    </w:p>
    <w:p>
      <w:pPr>
        <w:pStyle w:val="Style7"/>
        <w:keepNext w:val="0"/>
        <w:keepLines w:val="0"/>
        <w:widowControl w:val="0"/>
        <w:shd w:val="clear" w:color="auto" w:fill="auto"/>
        <w:bidi w:val="0"/>
        <w:spacing w:before="0" w:after="0" w:line="240" w:lineRule="auto"/>
        <w:ind w:left="0" w:right="0" w:firstLine="200"/>
        <w:jc w:val="left"/>
      </w:pPr>
      <w:r>
        <w:rPr>
          <w:i w:val="0"/>
          <w:iCs w:val="0"/>
          <w:color w:val="000000"/>
          <w:spacing w:val="0"/>
          <w:w w:val="100"/>
          <w:position w:val="0"/>
          <w:shd w:val="clear" w:color="auto" w:fill="auto"/>
          <w:lang w:val="ru-RU" w:eastAsia="ru-RU" w:bidi="ru-RU"/>
        </w:rPr>
        <w:t>е-таН: 1о86@Газ.§&amp;у.ш. сайт Ъпр://1нпао.!а5.аоу.п1</w:t>
      </w:r>
    </w:p>
    <w:p>
      <w:pPr>
        <w:pStyle w:val="Style7"/>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ИНН ШН0И9316 К1III 860101001 ОГРН 1028600512093</w:t>
      </w:r>
    </w:p>
    <w:p>
      <w:pPr>
        <w:pStyle w:val="Style10"/>
        <w:keepNext/>
        <w:keepLines/>
        <w:widowControl w:val="0"/>
        <w:shd w:val="clear" w:color="auto" w:fill="auto"/>
        <w:tabs>
          <w:tab w:pos="2102" w:val="left"/>
        </w:tabs>
        <w:bidi w:val="0"/>
        <w:spacing w:before="0" w:line="240" w:lineRule="auto"/>
        <w:ind w:left="0" w:right="0" w:firstLine="0"/>
        <w:jc w:val="left"/>
      </w:pPr>
      <w:bookmarkStart w:id="0" w:name="bookmark0"/>
      <w:r>
        <w:rPr>
          <w:spacing w:val="0"/>
          <w:w w:val="100"/>
          <w:position w:val="0"/>
          <w:sz w:val="24"/>
          <w:szCs w:val="24"/>
          <w:shd w:val="clear" w:color="auto" w:fill="auto"/>
          <w:lang w:val="ru-RU" w:eastAsia="ru-RU" w:bidi="ru-RU"/>
        </w:rPr>
        <w:t>О(</w:t>
        <w:tab/>
        <w:t>У/2</w:t>
      </w:r>
      <w:r>
        <w:rPr>
          <w:spacing w:val="0"/>
          <w:w w:val="100"/>
          <w:position w:val="0"/>
          <w:sz w:val="24"/>
          <w:szCs w:val="24"/>
          <w:u w:val="none"/>
          <w:shd w:val="clear" w:color="auto" w:fill="auto"/>
          <w:lang w:val="ru-RU" w:eastAsia="ru-RU" w:bidi="ru-RU"/>
        </w:rPr>
        <w:t>Ч</w:t>
      </w:r>
      <w:bookmarkEnd w:id="0"/>
    </w:p>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 xml:space="preserve">На №  от</w:t>
      </w:r>
    </w:p>
    <w:p>
      <w:pPr>
        <w:pStyle w:val="Style13"/>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Оператор электронной площадки:</w:t>
      </w:r>
      <w:bookmarkEnd w:id="2"/>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 - АСТ"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119435, г. Москва, Большой Саввинский переулок, д.12, стр.9</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 (495) 7872999/97 доб. 369, Факс: (495) 7872998</w:t>
      </w:r>
    </w:p>
    <w:p>
      <w:pPr>
        <w:pStyle w:val="Style15"/>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е-таП: ко@зЬегЬапк-аз(.ги</w:t>
      </w:r>
    </w:p>
    <w:p>
      <w:pPr>
        <w:pStyle w:val="Style13"/>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Заявитель:</w:t>
      </w:r>
      <w:bookmarkEnd w:id="4"/>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w:t>
      </w:r>
    </w:p>
    <w:p>
      <w:pPr>
        <w:pStyle w:val="Style15"/>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Кравченко Андрей Геннадьевич 628181, Ханты-Мансийский автономный округ — Югра, г. Нягань, 3 мкр., д. 6,кв. 127</w:t>
      </w:r>
    </w:p>
    <w:p>
      <w:pPr>
        <w:pStyle w:val="Style13"/>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Заказчик:</w:t>
      </w:r>
      <w:bookmarkEnd w:id="6"/>
    </w:p>
    <w:p>
      <w:pPr>
        <w:pStyle w:val="Style15"/>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города Нягани «Управление городского хозяйства» 628181, Ханты-Мансийский автономный округ - Югра, г. Нягань, мкр. 1, дом 50</w:t>
      </w:r>
    </w:p>
    <w:p>
      <w:pPr>
        <w:pStyle w:val="Style13"/>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Уполномоченный орган:</w:t>
      </w:r>
      <w:bookmarkEnd w:id="8"/>
    </w:p>
    <w:p>
      <w:pPr>
        <w:pStyle w:val="Style15"/>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8400" w:h="11900"/>
          <w:pgMar w:top="651" w:right="641" w:bottom="1175" w:left="1116" w:header="0" w:footer="3" w:gutter="0"/>
          <w:pgNumType w:start="1"/>
          <w:cols w:num="2" w:space="720" w:equalWidth="0">
            <w:col w:w="2851" w:space="586"/>
            <w:col w:w="3206"/>
          </w:cols>
          <w:noEndnote/>
          <w:titlePg/>
          <w:rtlGutter w:val="0"/>
          <w:docGrid w:linePitch="360"/>
        </w:sectPr>
      </w:pPr>
      <w:r>
        <w:rPr>
          <w:color w:val="000000"/>
          <w:spacing w:val="0"/>
          <w:w w:val="100"/>
          <w:position w:val="0"/>
          <w:shd w:val="clear" w:color="auto" w:fill="auto"/>
          <w:lang w:val="ru-RU" w:eastAsia="ru-RU" w:bidi="ru-RU"/>
        </w:rPr>
        <w:t>Администрация города Нягани 628181, Ханты-Мансийский автономный округ - Югра, г. Нягань, ул. Загородных, дом 7А</w:t>
      </w: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8400" w:h="11900"/>
          <w:pgMar w:top="596" w:right="0" w:bottom="1231" w:left="0" w:header="0" w:footer="3" w:gutter="0"/>
          <w:cols w:space="720"/>
          <w:noEndnote/>
          <w:rtlGutter w:val="0"/>
          <w:docGrid w:linePitch="360"/>
        </w:sectPr>
      </w:pPr>
    </w:p>
    <w:p>
      <w:pPr>
        <w:pStyle w:val="Style13"/>
        <w:keepNext/>
        <w:keepLines/>
        <w:widowControl w:val="0"/>
        <w:shd w:val="clear" w:color="auto" w:fill="auto"/>
        <w:bidi w:val="0"/>
        <w:spacing w:before="0" w:after="180" w:line="240" w:lineRule="auto"/>
        <w:ind w:left="0" w:right="0" w:firstLine="0"/>
        <w:jc w:val="center"/>
      </w:pPr>
      <w:bookmarkStart w:id="10" w:name="bookmark10"/>
      <w:r>
        <w:rPr>
          <w:color w:val="000000"/>
          <w:spacing w:val="0"/>
          <w:w w:val="100"/>
          <w:position w:val="0"/>
          <w:shd w:val="clear" w:color="auto" w:fill="auto"/>
          <w:lang w:val="ru-RU" w:eastAsia="ru-RU" w:bidi="ru-RU"/>
        </w:rPr>
        <w:t>РЕШЕНИЕ № 086/06/7-1540/2024</w:t>
      </w:r>
      <w:bookmarkEnd w:id="10"/>
    </w:p>
    <w:p>
      <w:pPr>
        <w:pStyle w:val="Style15"/>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4079875</wp:posOffset>
                </wp:positionH>
                <wp:positionV relativeFrom="paragraph">
                  <wp:posOffset>12700</wp:posOffset>
                </wp:positionV>
                <wp:extent cx="850265" cy="121920"/>
                <wp:wrapSquare wrapText="left"/>
                <wp:docPr id="6" name="Shape 6"/>
                <a:graphic xmlns:a="http://schemas.openxmlformats.org/drawingml/2006/main">
                  <a:graphicData uri="http://schemas.microsoft.com/office/word/2010/wordprocessingShape">
                    <wps:wsp>
                      <wps:cNvSpPr txBox="1"/>
                      <wps:spPr>
                        <a:xfrm>
                          <a:ext cx="850265" cy="12192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32" type="#_x0000_t202" style="position:absolute;margin-left:321.25pt;margin-top:1.pt;width:66.950000000000003pt;height:9.5999999999999996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26.09.2024</w:t>
      </w:r>
    </w:p>
    <w:p>
      <w:pPr>
        <w:pStyle w:val="Style15"/>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01.10.2024</w:t>
      </w:r>
    </w:p>
    <w:p>
      <w:pPr>
        <w:pStyle w:val="Style15"/>
        <w:keepNext w:val="0"/>
        <w:keepLines w:val="0"/>
        <w:widowControl w:val="0"/>
        <w:shd w:val="clear" w:color="auto" w:fill="auto"/>
        <w:bidi w:val="0"/>
        <w:spacing w:before="0" w:after="180" w:line="254" w:lineRule="auto"/>
        <w:ind w:left="0" w:right="0" w:firstLine="5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5"/>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numPr>
          <w:ilvl w:val="0"/>
          <w:numId w:val="1"/>
        </w:numPr>
        <w:shd w:val="clear" w:color="auto" w:fill="auto"/>
        <w:tabs>
          <w:tab w:pos="72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Валиуллин Р.Р. - Заместитель руководителя Управления;</w:t>
      </w:r>
    </w:p>
    <w:p>
      <w:pPr>
        <w:pStyle w:val="Style15"/>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Членов комиссии:</w:t>
      </w:r>
    </w:p>
    <w:p>
      <w:pPr>
        <w:pStyle w:val="Style15"/>
        <w:keepNext w:val="0"/>
        <w:keepLines w:val="0"/>
        <w:widowControl w:val="0"/>
        <w:numPr>
          <w:ilvl w:val="0"/>
          <w:numId w:val="1"/>
        </w:numPr>
        <w:shd w:val="clear" w:color="auto" w:fill="auto"/>
        <w:tabs>
          <w:tab w:pos="72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Иванчикова Е.А. — Начальник отдела Управления;</w:t>
      </w:r>
    </w:p>
    <w:p>
      <w:pPr>
        <w:pStyle w:val="Style15"/>
        <w:keepNext w:val="0"/>
        <w:keepLines w:val="0"/>
        <w:widowControl w:val="0"/>
        <w:numPr>
          <w:ilvl w:val="0"/>
          <w:numId w:val="1"/>
        </w:numPr>
        <w:shd w:val="clear" w:color="auto" w:fill="auto"/>
        <w:tabs>
          <w:tab w:pos="723" w:val="left"/>
        </w:tabs>
        <w:bidi w:val="0"/>
        <w:spacing w:before="0" w:after="180" w:line="240" w:lineRule="auto"/>
        <w:ind w:left="0" w:right="0" w:firstLine="480"/>
        <w:jc w:val="left"/>
      </w:pPr>
      <w:r>
        <w:rPr>
          <w:color w:val="000000"/>
          <w:spacing w:val="0"/>
          <w:w w:val="100"/>
          <w:position w:val="0"/>
          <w:shd w:val="clear" w:color="auto" w:fill="auto"/>
          <w:lang w:val="ru-RU" w:eastAsia="ru-RU" w:bidi="ru-RU"/>
        </w:rPr>
        <w:t>Смоль М.С.- Эксперт отдела Управления,</w:t>
      </w:r>
    </w:p>
    <w:p>
      <w:pPr>
        <w:pStyle w:val="Style15"/>
        <w:keepNext w:val="0"/>
        <w:keepLines w:val="0"/>
        <w:widowControl w:val="0"/>
        <w:numPr>
          <w:ilvl w:val="0"/>
          <w:numId w:val="1"/>
        </w:numPr>
        <w:shd w:val="clear" w:color="auto" w:fill="auto"/>
        <w:tabs>
          <w:tab w:pos="747" w:val="left"/>
        </w:tabs>
        <w:bidi w:val="0"/>
        <w:spacing w:before="0" w:after="0" w:line="240" w:lineRule="auto"/>
        <w:ind w:left="0" w:right="0" w:firstLine="480"/>
        <w:jc w:val="left"/>
      </w:pPr>
      <w:r>
        <w:rPr>
          <w:color w:val="000000"/>
          <w:spacing w:val="0"/>
          <w:w w:val="100"/>
          <w:position w:val="0"/>
          <w:shd w:val="clear" w:color="auto" w:fill="auto"/>
          <w:lang w:val="ru-RU" w:eastAsia="ru-RU" w:bidi="ru-RU"/>
        </w:rPr>
        <w:t>т Заявителя - отсутствовали, уведомлены надлежащим образом;</w:t>
      </w:r>
    </w:p>
    <w:p>
      <w:pPr>
        <w:pStyle w:val="Style15"/>
        <w:keepNext w:val="0"/>
        <w:keepLines w:val="0"/>
        <w:widowControl w:val="0"/>
        <w:numPr>
          <w:ilvl w:val="0"/>
          <w:numId w:val="1"/>
        </w:numPr>
        <w:shd w:val="clear" w:color="auto" w:fill="auto"/>
        <w:tabs>
          <w:tab w:pos="747" w:val="left"/>
        </w:tabs>
        <w:bidi w:val="0"/>
        <w:spacing w:before="0" w:after="0" w:line="240" w:lineRule="auto"/>
        <w:ind w:left="0" w:right="0" w:firstLine="500"/>
        <w:jc w:val="both"/>
      </w:pPr>
      <w:r>
        <w:rPr>
          <w:color w:val="000000"/>
          <w:spacing w:val="0"/>
          <w:w w:val="100"/>
          <w:position w:val="0"/>
          <w:shd w:val="clear" w:color="auto" w:fill="auto"/>
          <w:lang w:val="ru-RU" w:eastAsia="ru-RU" w:bidi="ru-RU"/>
        </w:rPr>
        <w:t>т Заказчика - посредством видеоконференц-связи Михайлусова Е.В. по доверенности № 2 от 09.01.2024 г.;</w:t>
      </w:r>
    </w:p>
    <w:p>
      <w:pPr>
        <w:pStyle w:val="Style15"/>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от Уполномоченного органа — отсутствовали, уведомлены надлежащим образом,</w:t>
      </w:r>
    </w:p>
    <w:p>
      <w:pPr>
        <w:pStyle w:val="Style15"/>
        <w:keepNext w:val="0"/>
        <w:keepLines w:val="0"/>
        <w:widowControl w:val="0"/>
        <w:shd w:val="clear" w:color="auto" w:fill="auto"/>
        <w:bidi w:val="0"/>
        <w:spacing w:before="0" w:after="220" w:line="240" w:lineRule="auto"/>
        <w:ind w:left="0" w:right="0" w:firstLine="500"/>
        <w:jc w:val="both"/>
      </w:pPr>
      <w:r>
        <w:rPr>
          <w:color w:val="000000"/>
          <w:spacing w:val="0"/>
          <w:w w:val="100"/>
          <w:position w:val="0"/>
          <w:shd w:val="clear" w:color="auto" w:fill="auto"/>
          <w:lang w:val="ru-RU" w:eastAsia="ru-RU" w:bidi="ru-RU"/>
        </w:rPr>
        <w:t>рассмотрев жалобу индивидуального предпринимателя Кравченко Андрея Геннадьевича (ОГРНИП: 321861700093625, ИНН: 861004994980) № 9416/24 от 20.09.2024 на действия</w:t>
      </w:r>
    </w:p>
    <w:p>
      <w:pPr>
        <w:pStyle w:val="Style17"/>
        <w:keepNext/>
        <w:keepLines/>
        <w:widowControl w:val="0"/>
        <w:shd w:val="clear" w:color="auto" w:fill="auto"/>
        <w:bidi w:val="0"/>
        <w:spacing w:before="0" w:line="240" w:lineRule="auto"/>
        <w:ind w:left="0" w:right="0" w:firstLine="0"/>
        <w:jc w:val="left"/>
      </w:pPr>
      <w:bookmarkStart w:id="12" w:name="bookmark12"/>
      <w:r>
        <w:rPr>
          <w:color w:val="000000"/>
          <w:spacing w:val="0"/>
          <w:w w:val="100"/>
          <w:position w:val="0"/>
          <w:shd w:val="clear" w:color="auto" w:fill="auto"/>
          <w:lang w:val="ru-RU" w:eastAsia="ru-RU" w:bidi="ru-RU"/>
        </w:rPr>
        <w:t>111111111 111111111111111</w:t>
      </w:r>
      <w:bookmarkEnd w:id="12"/>
    </w:p>
    <w:p>
      <w:pPr>
        <w:pStyle w:val="Style15"/>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Заказчика — муниципального казенного учреждения города Нягани «Управление городского хозяйства», Уполномоченного органа — Администрации города Нягани при проведении электронного аукциона, объектом которого является «Оказание услуг по содержанию и обслуживанию внутриквартальных проездов, расположенных на территории микрорайонов 1, 2, 3, 4, 5, 6, 7 Приурал, ул. Лазарева, ул. Сибирская, города Нягани» (извещение № 0187300008124000245) и в результате осуществления внеплановой проверки в соответствии с пунктом 1 части 15 статьи 99 Федерального закона от 05.04.2013 14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after="180" w:line="240" w:lineRule="auto"/>
        <w:ind w:left="0" w:right="0" w:firstLine="0"/>
        <w:jc w:val="center"/>
      </w:pPr>
      <w:bookmarkStart w:id="14" w:name="bookmark14"/>
      <w:r>
        <w:rPr>
          <w:color w:val="000000"/>
          <w:spacing w:val="0"/>
          <w:w w:val="100"/>
          <w:position w:val="0"/>
          <w:shd w:val="clear" w:color="auto" w:fill="auto"/>
          <w:lang w:val="ru-RU" w:eastAsia="ru-RU" w:bidi="ru-RU"/>
        </w:rPr>
        <w:t>УСТАНОВИЛА:</w:t>
      </w:r>
      <w:bookmarkEnd w:id="14"/>
    </w:p>
    <w:p>
      <w:pPr>
        <w:pStyle w:val="Style15"/>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индивидуального предпринимателя Кравченко Андрея Геннадьевича (ОГРНИП: 321861700093625, ИНН: 861004994980) №'9416/24 от 20.09.2024 на действия Заказчика — муниципального казенного учреждения города Нягани «Управление городского хозяйства», Уполномоченного органа — Администрации города Нягани при проведении электронного аукциона, объектом которого является «Оказание услуг по содержанию и обслуживанию внутриквартальных проездов, расположенных на территории микрорайонов 1,2,3, 4, 5, 6, 7 Приурал, ул. Лазарева, ул. Сибирская, города Нягани» (извещение № 0187300008124000245).</w:t>
      </w:r>
    </w:p>
    <w:p>
      <w:pPr>
        <w:pStyle w:val="Style15"/>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жалобе Заявитель указал следующее.</w:t>
      </w:r>
    </w:p>
    <w:p>
      <w:pPr>
        <w:pStyle w:val="Style15"/>
        <w:keepNext w:val="0"/>
        <w:keepLines w:val="0"/>
        <w:widowControl w:val="0"/>
        <w:numPr>
          <w:ilvl w:val="0"/>
          <w:numId w:val="3"/>
        </w:numPr>
        <w:shd w:val="clear" w:color="auto" w:fill="auto"/>
        <w:tabs>
          <w:tab w:pos="548" w:val="left"/>
        </w:tabs>
        <w:bidi w:val="0"/>
        <w:spacing w:before="0" w:after="0" w:line="240" w:lineRule="auto"/>
        <w:ind w:left="0" w:right="0"/>
        <w:jc w:val="both"/>
      </w:pPr>
      <w:r>
        <w:rPr>
          <w:color w:val="000000"/>
          <w:spacing w:val="0"/>
          <w:w w:val="100"/>
          <w:position w:val="0"/>
          <w:shd w:val="clear" w:color="auto" w:fill="auto"/>
          <w:lang w:val="ru-RU" w:eastAsia="ru-RU" w:bidi="ru-RU"/>
        </w:rPr>
        <w:t>Применение кода ОКПД 81.29.19.000 для данной закупки является необоснованным и не подлежащим применению.</w:t>
      </w:r>
    </w:p>
    <w:p>
      <w:pPr>
        <w:pStyle w:val="Style15"/>
        <w:keepNext w:val="0"/>
        <w:keepLines w:val="0"/>
        <w:widowControl w:val="0"/>
        <w:numPr>
          <w:ilvl w:val="0"/>
          <w:numId w:val="3"/>
        </w:numPr>
        <w:shd w:val="clear" w:color="auto" w:fill="auto"/>
        <w:tabs>
          <w:tab w:pos="553" w:val="left"/>
        </w:tabs>
        <w:bidi w:val="0"/>
        <w:spacing w:before="0" w:after="0" w:line="240" w:lineRule="auto"/>
        <w:ind w:left="0" w:right="0"/>
        <w:jc w:val="both"/>
      </w:pPr>
      <w:r>
        <w:rPr>
          <w:color w:val="000000"/>
          <w:spacing w:val="0"/>
          <w:w w:val="100"/>
          <w:position w:val="0"/>
          <w:shd w:val="clear" w:color="auto" w:fill="auto"/>
          <w:lang w:val="ru-RU" w:eastAsia="ru-RU" w:bidi="ru-RU"/>
        </w:rPr>
        <w:t>Пунктом 2.5. Описания объекта закупки определено, что качество оказанных услуг соответствует требованиям и нормам, указанным в решении Думы города Нягани от 28 октября 2022 года № 135 «Об утверждении Правил благоустройства на территории города Нягани» (с дополнениями и изменениями). Указанный нормативный документ не содержит требования к качеству оказанных услуг по содержанию и обслуживанию внутриквартальных проездов, при этом указанный нормативный акт в целом не определяет требования к порядку оказания услуг предусмотренный условиями закупки.</w:t>
      </w:r>
    </w:p>
    <w:p>
      <w:pPr>
        <w:pStyle w:val="Style15"/>
        <w:keepNext w:val="0"/>
        <w:keepLines w:val="0"/>
        <w:widowControl w:val="0"/>
        <w:numPr>
          <w:ilvl w:val="0"/>
          <w:numId w:val="3"/>
        </w:numPr>
        <w:shd w:val="clear" w:color="auto" w:fill="auto"/>
        <w:tabs>
          <w:tab w:pos="553" w:val="left"/>
        </w:tabs>
        <w:bidi w:val="0"/>
        <w:spacing w:before="0" w:after="180" w:line="240" w:lineRule="auto"/>
        <w:ind w:left="0" w:right="0"/>
        <w:jc w:val="both"/>
      </w:pPr>
      <w:r>
        <w:rPr>
          <w:color w:val="000000"/>
          <w:spacing w:val="0"/>
          <w:w w:val="100"/>
          <w:position w:val="0"/>
          <w:shd w:val="clear" w:color="auto" w:fill="auto"/>
          <w:lang w:val="ru-RU" w:eastAsia="ru-RU" w:bidi="ru-RU"/>
        </w:rPr>
        <w:t>Пунктом 2.2. установлено, что услуги по очистке внутриквартальных проездов осуществляются по заявке муниципального Заказчика. Однако при этом муниципальный Заказчик ни в одном документе не определяет порядок и сроки направления такой заявки, что в итоге может привести к направлению такой заявки с требованием о немедленном исполнении без учета времени необходимого для мобилизации как специализированной техники, так и трудовых ресурсов.</w:t>
      </w:r>
    </w:p>
    <w:p>
      <w:pPr>
        <w:pStyle w:val="Style13"/>
        <w:keepNext/>
        <w:keepLines/>
        <w:widowControl w:val="0"/>
        <w:shd w:val="clear" w:color="auto" w:fill="auto"/>
        <w:bidi w:val="0"/>
        <w:spacing w:before="0" w:after="0" w:line="252" w:lineRule="auto"/>
        <w:ind w:left="0" w:right="0" w:firstLine="320"/>
        <w:jc w:val="both"/>
      </w:pPr>
      <w:bookmarkStart w:id="16" w:name="bookmark16"/>
      <w:r>
        <w:rPr>
          <w:color w:val="000000"/>
          <w:spacing w:val="0"/>
          <w:w w:val="100"/>
          <w:position w:val="0"/>
          <w:shd w:val="clear" w:color="auto" w:fill="auto"/>
          <w:lang w:val="ru-RU" w:eastAsia="ru-RU" w:bidi="ru-RU"/>
        </w:rPr>
        <w:t>В ходе рассмотрения доводов сторон Комиссией Управления установлено следующее.</w:t>
      </w:r>
      <w:bookmarkEnd w:id="16"/>
    </w:p>
    <w:p>
      <w:pPr>
        <w:pStyle w:val="Style15"/>
        <w:keepNext w:val="0"/>
        <w:keepLines w:val="0"/>
        <w:widowControl w:val="0"/>
        <w:shd w:val="clear" w:color="auto" w:fill="auto"/>
        <w:bidi w:val="0"/>
        <w:spacing w:before="0" w:after="0" w:line="252" w:lineRule="auto"/>
        <w:ind w:left="0" w:right="0"/>
        <w:jc w:val="both"/>
      </w:pPr>
      <w:r>
        <w:rPr>
          <w:color w:val="000000"/>
          <w:spacing w:val="0"/>
          <w:w w:val="100"/>
          <w:position w:val="0"/>
          <w:shd w:val="clear" w:color="auto" w:fill="auto"/>
          <w:lang w:val="ru-RU" w:eastAsia="ru-RU" w:bidi="ru-RU"/>
        </w:rPr>
        <w:t>Согласно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5"/>
        <w:keepNext w:val="0"/>
        <w:keepLines w:val="0"/>
        <w:widowControl w:val="0"/>
        <w:numPr>
          <w:ilvl w:val="0"/>
          <w:numId w:val="5"/>
        </w:numPr>
        <w:shd w:val="clear" w:color="auto" w:fill="auto"/>
        <w:tabs>
          <w:tab w:pos="577" w:val="left"/>
        </w:tabs>
        <w:bidi w:val="0"/>
        <w:spacing w:before="0" w:after="0" w:line="252" w:lineRule="auto"/>
        <w:ind w:left="0" w:right="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7"/>
        </w:numPr>
        <w:shd w:val="clear" w:color="auto" w:fill="auto"/>
        <w:tabs>
          <w:tab w:pos="590" w:val="left"/>
        </w:tabs>
        <w:bidi w:val="0"/>
        <w:spacing w:before="0" w:after="0" w:line="252" w:lineRule="auto"/>
        <w:ind w:left="0" w:right="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5"/>
        <w:keepNext w:val="0"/>
        <w:keepLines w:val="0"/>
        <w:widowControl w:val="0"/>
        <w:numPr>
          <w:ilvl w:val="0"/>
          <w:numId w:val="7"/>
        </w:numPr>
        <w:shd w:val="clear" w:color="auto" w:fill="auto"/>
        <w:tabs>
          <w:tab w:pos="265" w:val="left"/>
        </w:tabs>
        <w:bidi w:val="0"/>
        <w:spacing w:before="0" w:after="0" w:line="252" w:lineRule="auto"/>
        <w:ind w:left="0" w:right="0" w:firstLine="320"/>
        <w:jc w:val="both"/>
      </w:pPr>
      <w:r>
        <w:rPr>
          <w:color w:val="000000"/>
          <w:spacing w:val="0"/>
          <w:w w:val="100"/>
          <w:position w:val="0"/>
          <w:shd w:val="clear" w:color="auto" w:fill="auto"/>
          <w:lang w:val="ru-RU" w:eastAsia="ru-RU" w:bidi="ru-RU"/>
        </w:rPr>
        <w:t xml:space="preserve">несовместимость товаров, на которых размещаются другие товарные знаки, и </w:t>
      </w:r>
      <w:r>
        <w:rPr>
          <w:color w:val="000000"/>
          <w:spacing w:val="0"/>
          <w:w w:val="100"/>
          <w:position w:val="0"/>
          <w:shd w:val="clear" w:color="auto" w:fill="auto"/>
          <w:lang w:val="ru-RU" w:eastAsia="ru-RU" w:bidi="ru-RU"/>
        </w:rPr>
        <w:t>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7"/>
        </w:numPr>
        <w:shd w:val="clear" w:color="auto" w:fill="auto"/>
        <w:tabs>
          <w:tab w:pos="582" w:val="left"/>
        </w:tabs>
        <w:bidi w:val="0"/>
        <w:spacing w:before="0" w:after="0" w:line="240" w:lineRule="auto"/>
        <w:ind w:left="0" w:right="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7"/>
        </w:numPr>
        <w:shd w:val="clear" w:color="auto" w:fill="auto"/>
        <w:tabs>
          <w:tab w:pos="572" w:val="left"/>
        </w:tabs>
        <w:bidi w:val="0"/>
        <w:spacing w:before="0" w:after="0" w:line="240" w:lineRule="auto"/>
        <w:ind w:left="0" w:right="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numPr>
          <w:ilvl w:val="0"/>
          <w:numId w:val="5"/>
        </w:numPr>
        <w:shd w:val="clear" w:color="auto" w:fill="auto"/>
        <w:tabs>
          <w:tab w:pos="586" w:val="left"/>
        </w:tabs>
        <w:bidi w:val="0"/>
        <w:spacing w:before="0" w:after="0" w:line="240" w:lineRule="auto"/>
        <w:ind w:left="0" w:right="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numPr>
          <w:ilvl w:val="0"/>
          <w:numId w:val="5"/>
        </w:numPr>
        <w:shd w:val="clear" w:color="auto" w:fill="auto"/>
        <w:tabs>
          <w:tab w:pos="586"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соответствшг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5"/>
        <w:keepNext w:val="0"/>
        <w:keepLines w:val="0"/>
        <w:widowControl w:val="0"/>
        <w:numPr>
          <w:ilvl w:val="0"/>
          <w:numId w:val="5"/>
        </w:numPr>
        <w:shd w:val="clear" w:color="auto" w:fill="auto"/>
        <w:tabs>
          <w:tab w:pos="591"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Style15"/>
        <w:keepNext w:val="0"/>
        <w:keepLines w:val="0"/>
        <w:widowControl w:val="0"/>
        <w:numPr>
          <w:ilvl w:val="0"/>
          <w:numId w:val="5"/>
        </w:numPr>
        <w:shd w:val="clear" w:color="auto" w:fill="auto"/>
        <w:tabs>
          <w:tab w:pos="582" w:val="left"/>
        </w:tabs>
        <w:bidi w:val="0"/>
        <w:spacing w:before="0" w:after="0" w:line="240" w:lineRule="auto"/>
        <w:ind w:left="0" w:right="0"/>
        <w:jc w:val="both"/>
      </w:pPr>
      <w:r>
        <w:rPr>
          <w:color w:val="000000"/>
          <w:spacing w:val="0"/>
          <w:w w:val="100"/>
          <w:position w:val="0"/>
          <w:shd w:val="clear" w:color="auto" w:fill="auto"/>
          <w:lang w:val="ru-RU" w:eastAsia="ru-RU" w:bidi="ru-RU"/>
        </w:rPr>
        <w:t>■ 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Style15"/>
        <w:keepNext w:val="0"/>
        <w:keepLines w:val="0"/>
        <w:widowControl w:val="0"/>
        <w:numPr>
          <w:ilvl w:val="0"/>
          <w:numId w:val="5"/>
        </w:numPr>
        <w:shd w:val="clear" w:color="auto" w:fill="auto"/>
        <w:tabs>
          <w:tab w:pos="582" w:val="left"/>
        </w:tabs>
        <w:bidi w:val="0"/>
        <w:spacing w:before="0" w:after="0" w:line="240" w:lineRule="auto"/>
        <w:ind w:left="0" w:right="0"/>
        <w:jc w:val="both"/>
      </w:pPr>
      <w:r>
        <w:rPr>
          <w:color w:val="000000"/>
          <w:spacing w:val="0"/>
          <w:w w:val="100"/>
          <w:position w:val="0"/>
          <w:shd w:val="clear" w:color="auto" w:fill="auto"/>
          <w:lang w:val="ru-RU" w:eastAsia="ru-RU" w:bidi="ru-RU"/>
        </w:rPr>
        <w:t xml:space="preserve">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w:t>
      </w:r>
      <w:r>
        <w:rPr>
          <w:color w:val="000000"/>
          <w:spacing w:val="0"/>
          <w:w w:val="100"/>
          <w:position w:val="0"/>
          <w:shd w:val="clear" w:color="auto" w:fill="auto"/>
          <w:lang w:val="ru-RU" w:eastAsia="ru-RU" w:bidi="ru-RU"/>
        </w:rPr>
        <w:t>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pPr>
        <w:pStyle w:val="Style15"/>
        <w:keepNext w:val="0"/>
        <w:keepLines w:val="0"/>
        <w:widowControl w:val="0"/>
        <w:numPr>
          <w:ilvl w:val="0"/>
          <w:numId w:val="5"/>
        </w:numPr>
        <w:shd w:val="clear" w:color="auto" w:fill="auto"/>
        <w:tabs>
          <w:tab w:pos="572" w:val="left"/>
        </w:tabs>
        <w:bidi w:val="0"/>
        <w:spacing w:before="0" w:after="0" w:line="240" w:lineRule="auto"/>
        <w:ind w:left="0" w:right="0"/>
        <w:jc w:val="both"/>
      </w:pPr>
      <w:r>
        <w:rPr>
          <w:color w:val="000000"/>
          <w:spacing w:val="0"/>
          <w:w w:val="100"/>
          <w:position w:val="0"/>
          <w:shd w:val="clear" w:color="auto" w:fill="auto"/>
          <w:lang w:val="ru-RU" w:eastAsia="ru-RU" w:bidi="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Style15"/>
        <w:keepNext w:val="0"/>
        <w:keepLines w:val="0"/>
        <w:widowControl w:val="0"/>
        <w:numPr>
          <w:ilvl w:val="0"/>
          <w:numId w:val="5"/>
        </w:numPr>
        <w:shd w:val="clear" w:color="auto" w:fill="auto"/>
        <w:tabs>
          <w:tab w:pos="577" w:val="left"/>
        </w:tabs>
        <w:bidi w:val="0"/>
        <w:spacing w:before="0" w:after="0" w:line="240" w:lineRule="auto"/>
        <w:ind w:left="0" w:right="0"/>
        <w:jc w:val="both"/>
      </w:pPr>
      <w:r>
        <w:rPr>
          <w:color w:val="000000"/>
          <w:spacing w:val="0"/>
          <w:w w:val="100"/>
          <w:position w:val="0"/>
          <w:shd w:val="clear" w:color="auto" w:fill="auto"/>
          <w:lang w:val="ru-RU" w:eastAsia="ru-RU" w:bidi="ru-RU"/>
        </w:rPr>
        <w:t>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15"/>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 частью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5"/>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14 145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9"/>
        </w:numPr>
        <w:shd w:val="clear" w:color="auto" w:fill="auto"/>
        <w:tabs>
          <w:tab w:pos="595" w:val="left"/>
        </w:tabs>
        <w:bidi w:val="0"/>
        <w:spacing w:before="0" w:after="0" w:line="240" w:lineRule="auto"/>
        <w:ind w:left="0" w:right="0"/>
        <w:jc w:val="both"/>
      </w:pPr>
      <w:r>
        <w:rPr>
          <w:color w:val="000000"/>
          <w:spacing w:val="0"/>
          <w:w w:val="100"/>
          <w:position w:val="0"/>
          <w:shd w:val="clear" w:color="auto" w:fill="auto"/>
          <w:lang w:val="ru-RU" w:eastAsia="ru-RU" w:bidi="ru-RU"/>
        </w:rPr>
        <w:t>наименование товара, работы, услуги;</w:t>
      </w:r>
    </w:p>
    <w:p>
      <w:pPr>
        <w:pStyle w:val="Style15"/>
        <w:keepNext w:val="0"/>
        <w:keepLines w:val="0"/>
        <w:widowControl w:val="0"/>
        <w:numPr>
          <w:ilvl w:val="0"/>
          <w:numId w:val="9"/>
        </w:numPr>
        <w:shd w:val="clear" w:color="auto" w:fill="auto"/>
        <w:tabs>
          <w:tab w:pos="591" w:val="left"/>
        </w:tabs>
        <w:bidi w:val="0"/>
        <w:spacing w:before="0" w:after="0" w:line="240" w:lineRule="auto"/>
        <w:ind w:left="0" w:right="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9"/>
        </w:numPr>
        <w:shd w:val="clear" w:color="auto" w:fill="auto"/>
        <w:tabs>
          <w:tab w:pos="600" w:val="left"/>
        </w:tabs>
        <w:bidi w:val="0"/>
        <w:spacing w:before="0" w:after="180" w:line="240" w:lineRule="auto"/>
        <w:ind w:left="0" w:right="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9"/>
        <w:keepNext w:val="0"/>
        <w:keepLines w:val="0"/>
        <w:widowControl w:val="0"/>
        <w:shd w:val="clear" w:color="auto" w:fill="auto"/>
        <w:bidi w:val="0"/>
        <w:spacing w:before="0" w:after="0" w:line="240" w:lineRule="auto"/>
        <w:ind w:left="307" w:right="0" w:firstLine="0"/>
        <w:jc w:val="left"/>
      </w:pPr>
      <w:r>
        <w:rPr>
          <w:b/>
          <w:bCs/>
          <w:color w:val="000000"/>
          <w:spacing w:val="0"/>
          <w:w w:val="100"/>
          <w:position w:val="0"/>
          <w:u w:val="none"/>
          <w:shd w:val="clear" w:color="auto" w:fill="auto"/>
          <w:lang w:val="ru-RU" w:eastAsia="ru-RU" w:bidi="ru-RU"/>
        </w:rPr>
        <w:t>Относительно первого довода жалобы Комиссия Управления поясняет следующее.</w:t>
      </w:r>
    </w:p>
    <w:p>
      <w:pPr>
        <w:pStyle w:val="Style19"/>
        <w:keepNext w:val="0"/>
        <w:keepLines w:val="0"/>
        <w:widowControl w:val="0"/>
        <w:shd w:val="clear" w:color="auto" w:fill="auto"/>
        <w:bidi w:val="0"/>
        <w:spacing w:before="0" w:after="0" w:line="240" w:lineRule="auto"/>
        <w:ind w:left="307" w:right="0" w:firstLine="0"/>
        <w:jc w:val="left"/>
      </w:pPr>
      <w:r>
        <w:rPr>
          <w:color w:val="000000"/>
          <w:spacing w:val="0"/>
          <w:w w:val="100"/>
          <w:position w:val="0"/>
          <w:shd w:val="clear" w:color="auto" w:fill="auto"/>
          <w:lang w:val="ru-RU" w:eastAsia="ru-RU" w:bidi="ru-RU"/>
        </w:rPr>
        <w:t>В соответствии с описанием объекта закупки Заказчику требуется следующее:</w:t>
      </w:r>
    </w:p>
    <w:tbl>
      <w:tblPr>
        <w:tblOverlap w:val="never"/>
        <w:jc w:val="center"/>
        <w:tblLayout w:type="fixed"/>
      </w:tblPr>
      <w:tblGrid>
        <w:gridCol w:w="322"/>
        <w:gridCol w:w="835"/>
        <w:gridCol w:w="898"/>
        <w:gridCol w:w="3293"/>
        <w:gridCol w:w="715"/>
        <w:gridCol w:w="605"/>
      </w:tblGrid>
      <w:tr>
        <w:trPr>
          <w:trHeight w:val="46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 п/п</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Код по</w:t>
            </w:r>
          </w:p>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ОКПД 2</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Код позиции по КТРУ</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Наименование и описание объекта закупки (с учетом статьи 33 Федерального закона № 44-ФЗ)</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Единица измеренн я</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Объем</w:t>
            </w:r>
          </w:p>
        </w:tc>
      </w:tr>
      <w:tr>
        <w:trPr>
          <w:trHeight w:val="187"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1</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2</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3</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4</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5</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6</w:t>
            </w:r>
          </w:p>
        </w:tc>
      </w:tr>
      <w:tr>
        <w:trPr>
          <w:trHeight w:val="619"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1.</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81.29.19.000'</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81.29.10.000- 00000006</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Оказание услуг по содержанию и обслуживанию внутриквартальных проездов, расположенных на территории микрорайонов 1,2,3,4,5,6,7 Приурал, ул. Лазарева, ул. Сибирская, города Нягани, в том числе:</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33" w:lineRule="auto"/>
              <w:ind w:left="0" w:right="0" w:firstLine="0"/>
              <w:jc w:val="center"/>
              <w:rPr>
                <w:sz w:val="13"/>
                <w:szCs w:val="13"/>
              </w:rPr>
            </w:pPr>
            <w:r>
              <w:rPr>
                <w:color w:val="000000"/>
                <w:spacing w:val="0"/>
                <w:w w:val="100"/>
                <w:position w:val="0"/>
                <w:sz w:val="13"/>
                <w:szCs w:val="13"/>
                <w:shd w:val="clear" w:color="auto" w:fill="auto"/>
                <w:lang w:val="ru-RU" w:eastAsia="ru-RU" w:bidi="ru-RU"/>
              </w:rPr>
              <w:t>Условная единица</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1</w:t>
            </w:r>
          </w:p>
        </w:tc>
      </w:tr>
    </w:tbl>
    <w:p>
      <w:pPr>
        <w:widowControl w:val="0"/>
        <w:spacing w:after="59" w:line="1" w:lineRule="exact"/>
      </w:pPr>
    </w:p>
    <w:p>
      <w:pPr>
        <w:widowControl w:val="0"/>
        <w:spacing w:line="1" w:lineRule="exact"/>
      </w:pPr>
    </w:p>
    <w:p>
      <w:pPr>
        <w:pStyle w:val="Style19"/>
        <w:keepNext w:val="0"/>
        <w:keepLines w:val="0"/>
        <w:widowControl w:val="0"/>
        <w:shd w:val="clear" w:color="auto" w:fill="auto"/>
        <w:bidi w:val="0"/>
        <w:spacing w:before="0" w:after="0" w:line="240" w:lineRule="auto"/>
        <w:ind w:left="466" w:right="0" w:firstLine="0"/>
        <w:jc w:val="left"/>
      </w:pPr>
      <w:r>
        <w:rPr>
          <w:color w:val="000000"/>
          <w:spacing w:val="0"/>
          <w:w w:val="100"/>
          <w:position w:val="0"/>
          <w:shd w:val="clear" w:color="auto" w:fill="auto"/>
          <w:lang w:val="ru-RU" w:eastAsia="ru-RU" w:bidi="ru-RU"/>
        </w:rPr>
        <w:t>Объем услуг:</w:t>
      </w:r>
    </w:p>
    <w:tbl>
      <w:tblPr>
        <w:tblOverlap w:val="never"/>
        <w:jc w:val="center"/>
        <w:tblLayout w:type="fixed"/>
      </w:tblPr>
      <w:tblGrid>
        <w:gridCol w:w="379"/>
        <w:gridCol w:w="4944"/>
        <w:gridCol w:w="696"/>
        <w:gridCol w:w="653"/>
      </w:tblGrid>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 п/п</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Наименование услуг</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Ед. измерен ИЯ</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Цена за единиц У. руб.</w:t>
            </w:r>
          </w:p>
        </w:tc>
      </w:tr>
      <w:tr>
        <w:trPr>
          <w:trHeight w:val="307" w:hRule="exact"/>
        </w:trPr>
        <w:tc>
          <w:tcPr>
            <w:gridSpan w:val="4"/>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Оказание услуг по содержанию и обслуживанию внутриквартальных проездов, расположенных на территории микрорайонов 1,2,3,4,5,6, 7 Приурал, ул. Лазарева, ул. Сибирская города Нягани</w:t>
            </w:r>
          </w:p>
        </w:tc>
      </w:tr>
      <w:tr>
        <w:trPr>
          <w:trHeight w:val="154"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1</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Очистка проездов от свежевыпавшего снега без вывоза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260"/>
              <w:jc w:val="left"/>
              <w:rPr>
                <w:sz w:val="13"/>
                <w:szCs w:val="13"/>
              </w:rPr>
            </w:pPr>
            <w:r>
              <w:rPr>
                <w:color w:val="000000"/>
                <w:spacing w:val="0"/>
                <w:w w:val="100"/>
                <w:position w:val="0"/>
                <w:sz w:val="13"/>
                <w:szCs w:val="13"/>
                <w:shd w:val="clear" w:color="auto" w:fill="auto"/>
                <w:lang w:val="ru-RU" w:eastAsia="ru-RU" w:bidi="ru-RU"/>
              </w:rPr>
              <w:t>м2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0,36</w:t>
            </w:r>
          </w:p>
        </w:tc>
      </w:tr>
      <w:tr>
        <w:trPr>
          <w:trHeight w:val="30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2</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Очистка проездов от слежавшегося снега и наледи, выравнивание поверхности до основания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260"/>
              <w:jc w:val="left"/>
              <w:rPr>
                <w:sz w:val="13"/>
                <w:szCs w:val="13"/>
              </w:rPr>
            </w:pPr>
            <w:r>
              <w:rPr>
                <w:color w:val="000000"/>
                <w:spacing w:val="0"/>
                <w:w w:val="100"/>
                <w:position w:val="0"/>
                <w:sz w:val="13"/>
                <w:szCs w:val="13"/>
                <w:shd w:val="clear" w:color="auto" w:fill="auto"/>
                <w:lang w:val="ru-RU" w:eastAsia="ru-RU" w:bidi="ru-RU"/>
              </w:rPr>
              <w:t>м2</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0,55</w:t>
            </w:r>
          </w:p>
        </w:tc>
      </w:tr>
      <w:tr>
        <w:trPr>
          <w:trHeight w:val="168"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3</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Россыпь противогололедного материала (со стоимостью материала)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260"/>
              <w:jc w:val="left"/>
              <w:rPr>
                <w:sz w:val="13"/>
                <w:szCs w:val="13"/>
              </w:rPr>
            </w:pPr>
            <w:r>
              <w:rPr>
                <w:color w:val="000000"/>
                <w:spacing w:val="0"/>
                <w:w w:val="100"/>
                <w:position w:val="0"/>
                <w:sz w:val="13"/>
                <w:szCs w:val="13"/>
                <w:shd w:val="clear" w:color="auto" w:fill="auto"/>
                <w:lang w:val="ru-RU" w:eastAsia="ru-RU" w:bidi="ru-RU"/>
              </w:rPr>
              <w:t>м2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2,58</w:t>
            </w:r>
          </w:p>
        </w:tc>
      </w:tr>
      <w:tr>
        <w:trPr>
          <w:trHeight w:val="307" w:hRule="exact"/>
        </w:trPr>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4</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Механизированный сбор, погрузка снега, и транспортировка снега на площадку временного хранения, расположенной на автодороге «г. Нягань-п. Талинка», 2 км</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ru-RU" w:eastAsia="ru-RU" w:bidi="ru-RU"/>
              </w:rPr>
              <w:t>м3</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337,64</w:t>
            </w:r>
          </w:p>
        </w:tc>
      </w:tr>
      <w:tr>
        <w:trPr>
          <w:trHeight w:val="182"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Начальная сумма цен единиц услуг:</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341,13</w:t>
            </w:r>
          </w:p>
        </w:tc>
      </w:tr>
    </w:tbl>
    <w:p>
      <w:pPr>
        <w:widowControl w:val="0"/>
        <w:spacing w:after="179" w:line="1" w:lineRule="exact"/>
      </w:pP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Таким образом, Заказчику необходимы услуги по содержанию и обслуживанию внутриквартальных проездов, расположенных на территории микрорайонов 1, 2, 3, 4, 5, 6, 7 Приурал, ул. Лазарева, ул. Сибирская, города Нягани, код ОКПД 2 который использует Заказчик — 81.29.19.000 «Услуги по чистке и уборке прочие, не включенные в другие группировки».</w:t>
      </w: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Код ОКПД 2, который в своей жалобе указывает Заявитель - 42.11.20.300 «Работы по содержанию автомобильных дорог».</w:t>
      </w: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 9 ст. 5 Федерального закона от 08.11.2007 14 257-ФЗ (ред. от 04.08.2023)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автомобильными дорогами общего пользования местного значения городского и сельского поселений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поселения может утверждаться органом местного самоуправления городского поселения. Перечень автомобильных дорог общего пользования местного значения сельского поселения может утверждаться органом самоуправления муниципального района, если законом субъекта Российской Федерации вопрос осуществления дорожной деятельности в отношении автомобильных дорог местного значения не отнесен к числу полномочий, закрепленных за сельским поселением.</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Постановлением Администрации города Нягани от 11.07.2022 № 2179 утвержден Перечень автомобильных дорог общего пользования местного значения, находящихся на территории города Нягани, куда внутриквартальные проезды, расположенных на территории микрорайонов Восточный, Финский, Энергетиков, Западный, Геология города Нягани не входят.</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п. 3.1.2 свода правил СП 476.1325800.2020 «Территории городских и сельских поселений. Правила планировки, застройки и благоустройства жилых микрорайонов» (утв. приказом Министерства строительства и жилищно-коммунального хозяйства РФ от 24 января 2020 г. 14 33/пр) внутриквартальный проезд: Проезжая часть территории квартала вне красных линий, используемая как элемент внутриквартальной коммуникационной системы, связанной с улично-дорожной сетью (ХДС), предназначенная для обслуживания застройки.</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Внутриквартальный проезд является элементом внутриквартальной коммуникационной системы, связанного с улично-дорожной сетью.</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письму ФАС России № ИА/19176/19 от 13.03.2019 Заказчик выбирает способ определения поставщика (подрядчика, исполнителя), исходя из предмета закупки. При этом код ОКПД2 определяется заказчиком самостоятельно путем соотнесения предмета закупки ' к соответствующему коду и наименованию позиции ОКПД 2 с учетом специфики закупки в области применения. Вместе с тем, ФАС России обращает внимание, что выбор кода из ОКПД 2 не должен осуществляться с целью изменения способа определения поставщика (подрядчика, исполнителя) или иных неправомерных действий, которые могут возникнуть, в случае указания неверного кода.</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Таким образом, Заказчик формировал описание объекта закупки, исходя из необходимости получить услугу, полностью удовлетворяющую потребностям Заказчика, в связи с чем применил ОКПД 2 81.29.19.000 - Услуги по чистке и уборке прочие, не включенные в другие группировки.</w:t>
      </w:r>
    </w:p>
    <w:p>
      <w:pPr>
        <w:pStyle w:val="Style15"/>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На основании вышеизложенного, применение кода ОКПД 81.29.19.000 соответствует предмету аукциона, довод Заявителя является необоснованным.</w:t>
      </w:r>
    </w:p>
    <w:p>
      <w:pPr>
        <w:pStyle w:val="Style13"/>
        <w:keepNext/>
        <w:keepLines/>
        <w:widowControl w:val="0"/>
        <w:shd w:val="clear" w:color="auto" w:fill="auto"/>
        <w:bidi w:val="0"/>
        <w:spacing w:before="0" w:after="0" w:line="240" w:lineRule="auto"/>
        <w:ind w:left="0" w:right="0" w:firstLine="460"/>
        <w:jc w:val="both"/>
      </w:pPr>
      <w:bookmarkStart w:id="18" w:name="bookmark18"/>
      <w:r>
        <w:rPr>
          <w:color w:val="000000"/>
          <w:spacing w:val="0"/>
          <w:w w:val="100"/>
          <w:position w:val="0"/>
          <w:shd w:val="clear" w:color="auto" w:fill="auto"/>
          <w:lang w:val="ru-RU" w:eastAsia="ru-RU" w:bidi="ru-RU"/>
        </w:rPr>
        <w:t>Относительно второго довода жалобы Комиссия Управления поясняет следующее.</w:t>
      </w:r>
      <w:bookmarkEnd w:id="18"/>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Пунктом 2.5 описания объекта закупки определено, что качество оказанных услуг соответствует требованиям и нормам, указанным в решении Думы города Нягани от 28 октября 2022 года № 135 «Об утверждении Правил благоустройства на территории города Нягани».</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пункту 1.3. Правил благоустройства на территории города Нягани объекты санитарной очистки - территория домовладений, уличные, межквартальные и внутриквартальные проезды, объекты культурно-бытового назначения, территории предприятий, учреждений и организаций различных форм собственности, места общего пользования. Санитарная очистка территорий - работы, связанные со сбором, удалением и вывозом твердых коммунальных отходов и крупногабаритного мусора, покосом травы, устранением загрязнений, снега, льда, наледи, обработкой противогололедными составами.</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Также в пункте 1.3. Правил благоустройства на территории города Нягани указано, что содержание территории - виды деятельности, связанные с выполнением работ, в результате которых создается и поддерживается надлежащее техническое и эксплуатационное состояние территории и ее структурных элементов, в том числе работы по регулярной санитарной очистке территории, уборке усовершенствованных покрытий тротуаров, дворов, внутриквартальных проездов, сбор и вывоз твердых коммунальных отходов, содержание в чистоте и надлежащем санитарном и техническом состоянии мест установки контейнеров для твердых коммунальных отходов и самих контейнеров, уход за зелеными насаждениями, поддержание в чистоте и исправном состоянии не заасфальтированных участков дворов, спортивных, детских и других площадок, малых архитектурных форм, во дворах, где имеются не канализированные домовладения, вывоз жидких бытовых отходов, дезинфекция и содержание в чистоте туалетов, выгребов, стационарных мусоросборников и других устройств для хранения твердых коммунальных отходов, ремонт и устранение незначительных неисправностей элементов обустройства территории, малых архитектурных форм и прочие работы.</w:t>
      </w:r>
    </w:p>
    <w:p>
      <w:pPr>
        <w:pStyle w:val="Style1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Таким образом, Заказчиком обоснованно применяются требования по соблюдению Правил благоустройства на территории города Нягани, утвержденных решением Думы города Нягани от </w:t>
      </w:r>
      <w:r>
        <w:rPr>
          <w:color w:val="000000"/>
          <w:spacing w:val="0"/>
          <w:w w:val="100"/>
          <w:position w:val="0"/>
          <w:shd w:val="clear" w:color="auto" w:fill="auto"/>
          <w:lang w:val="ru-RU" w:eastAsia="ru-RU" w:bidi="ru-RU"/>
        </w:rPr>
        <w:t>28.10.2002 № 135, которые содержат общие требования к содержанию территорий города Нягани.</w:t>
      </w:r>
    </w:p>
    <w:p>
      <w:pPr>
        <w:pStyle w:val="Style15"/>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На основании изложенного, довод Заявителя является необоснованными.</w:t>
      </w:r>
    </w:p>
    <w:p>
      <w:pPr>
        <w:pStyle w:val="Style13"/>
        <w:keepNext/>
        <w:keepLines/>
        <w:widowControl w:val="0"/>
        <w:shd w:val="clear" w:color="auto" w:fill="auto"/>
        <w:bidi w:val="0"/>
        <w:spacing w:before="0" w:after="0" w:line="240" w:lineRule="auto"/>
        <w:ind w:left="0" w:right="0" w:firstLine="480"/>
        <w:jc w:val="both"/>
      </w:pPr>
      <w:bookmarkStart w:id="20" w:name="bookmark20"/>
      <w:r>
        <w:rPr>
          <w:color w:val="000000"/>
          <w:spacing w:val="0"/>
          <w:w w:val="100"/>
          <w:position w:val="0"/>
          <w:shd w:val="clear" w:color="auto" w:fill="auto"/>
          <w:lang w:val="ru-RU" w:eastAsia="ru-RU" w:bidi="ru-RU"/>
        </w:rPr>
        <w:t>Относительно третьего довода жалобы Комиссия Управления поясняет следующее.</w:t>
      </w:r>
      <w:bookmarkEnd w:id="20"/>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Приложении № 1 к проекту Контракта в пункту 1.1. указано, что услуги по очистке территории осуществляются в утренние часы до начала рабочего времени (с 5:00 до 8:00 часов). Также согласно пункту 1.2. Приложения № 1 к проекту Контракта услуги по очистке внутриквартальных проездов осуществляются по заявке муниципального Заказчика.</w:t>
      </w: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Между тем, Заказчик в проекте Контракта не указывает каким образом передаются данные заявки Исполнителю, в какой срок необходимо произвести очистку внутриквартальных проездов после получения заявки Исполнителем, что может привести к ненадлежащему исполнению Контракта Победителем закупки.</w:t>
      </w: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Таким образом в проекте Контракта содержится неполная информация, что является нарушением части 3 статьи 7 Закона о контрактной системе.</w:t>
      </w:r>
    </w:p>
    <w:p>
      <w:pPr>
        <w:pStyle w:val="Style15"/>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На основании вышеизложенного, довод Заявителя является обоснованным, Заказчиком и Уполномоченным органом нарушены положения части 3 статьи 7 Закона о контрактной системе, ответственность за которое предусмотрена частью 1.4 статьи 7.30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5"/>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Таким образом, Комиссия Управления решила выдать обязательное для исполнения предпи</w:t>
        <w:softHyphen/>
        <w:t>сание.</w:t>
      </w:r>
    </w:p>
    <w:p>
      <w:pPr>
        <w:pStyle w:val="Style15"/>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Жалоба индивидуального предпринимателя Кравченко Андрея Геннадьевича (ОГРНИП: 321861700093625, ИНН: 861004994980) № 9416/24 от 20.09.2024 рассмотрена Комиссией Управления в соответствии с требованиями Закона о контрактной системе.</w:t>
      </w:r>
    </w:p>
    <w:p>
      <w:pPr>
        <w:pStyle w:val="Style15"/>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3"/>
        <w:keepNext/>
        <w:keepLines/>
        <w:widowControl w:val="0"/>
        <w:shd w:val="clear" w:color="auto" w:fill="auto"/>
        <w:bidi w:val="0"/>
        <w:spacing w:before="0" w:after="180" w:line="240" w:lineRule="auto"/>
        <w:ind w:left="0" w:right="0" w:firstLine="0"/>
        <w:jc w:val="center"/>
      </w:pPr>
      <w:bookmarkStart w:id="22" w:name="bookmark22"/>
      <w:r>
        <w:rPr>
          <w:color w:val="000000"/>
          <w:spacing w:val="0"/>
          <w:w w:val="100"/>
          <w:position w:val="0"/>
          <w:shd w:val="clear" w:color="auto" w:fill="auto"/>
          <w:lang w:val="ru-RU" w:eastAsia="ru-RU" w:bidi="ru-RU"/>
        </w:rPr>
        <w:t>РЕШИЛА:</w:t>
      </w:r>
      <w:bookmarkEnd w:id="22"/>
    </w:p>
    <w:p>
      <w:pPr>
        <w:pStyle w:val="Style15"/>
        <w:keepNext w:val="0"/>
        <w:keepLines w:val="0"/>
        <w:widowControl w:val="0"/>
        <w:numPr>
          <w:ilvl w:val="0"/>
          <w:numId w:val="11"/>
        </w:numPr>
        <w:shd w:val="clear" w:color="auto" w:fill="auto"/>
        <w:tabs>
          <w:tab w:pos="716" w:val="left"/>
        </w:tabs>
        <w:bidi w:val="0"/>
        <w:spacing w:before="0" w:after="80" w:line="240" w:lineRule="auto"/>
        <w:ind w:left="0" w:right="0" w:firstLine="500"/>
        <w:jc w:val="both"/>
      </w:pPr>
      <w:r>
        <w:rPr>
          <w:color w:val="000000"/>
          <w:spacing w:val="0"/>
          <w:w w:val="100"/>
          <w:position w:val="0"/>
          <w:shd w:val="clear" w:color="auto" w:fill="auto"/>
          <w:lang w:val="ru-RU" w:eastAsia="ru-RU" w:bidi="ru-RU"/>
        </w:rPr>
        <w:t>Признать жалобу индивидуального предпринимателя Кравченко Андрея Геннадьевича (ОГРНИП: 321861700093625, ИНН: 861004994980) № 9416/24 от 20.09.2024 на действия Заказчика — муниципального казенного учреждения города Нягани «Управление городского хозяйства», Уполномоченного органа — Администрации города Нягани при проведении электронного аукциона, объектом которого является «Оказание услуг по содержанию и обслуживанию внутриквартальных проездов, расположенных на территории микрорайонов 1, 2, 3, 4, 5, 6, 7 Приурал, ул. Лазарева, ул. Сибирская, города Нягани» (извещение № 0187300008124000245) частично обоснованной:</w:t>
      </w:r>
      <w:r>
        <w:br w:type="page"/>
      </w:r>
    </w:p>
    <w:p>
      <w:pPr>
        <w:pStyle w:val="Style15"/>
        <w:keepNext w:val="0"/>
        <w:keepLines w:val="0"/>
        <w:widowControl w:val="0"/>
        <w:numPr>
          <w:ilvl w:val="1"/>
          <w:numId w:val="11"/>
        </w:numPr>
        <w:shd w:val="clear" w:color="auto" w:fill="auto"/>
        <w:tabs>
          <w:tab w:pos="806" w:val="left"/>
        </w:tabs>
        <w:bidi w:val="0"/>
        <w:spacing w:before="0" w:after="0" w:line="252" w:lineRule="auto"/>
        <w:ind w:left="0" w:right="0" w:firstLine="460"/>
        <w:jc w:val="both"/>
      </w:pPr>
      <w:r>
        <w:rPr>
          <w:color w:val="000000"/>
          <w:spacing w:val="0"/>
          <w:w w:val="100"/>
          <w:position w:val="0"/>
          <w:shd w:val="clear" w:color="auto" w:fill="auto"/>
          <w:lang w:val="ru-RU" w:eastAsia="ru-RU" w:bidi="ru-RU"/>
        </w:rPr>
        <w:t>Первый довод необоснованный.</w:t>
      </w:r>
    </w:p>
    <w:p>
      <w:pPr>
        <w:pStyle w:val="Style15"/>
        <w:keepNext w:val="0"/>
        <w:keepLines w:val="0"/>
        <w:widowControl w:val="0"/>
        <w:numPr>
          <w:ilvl w:val="1"/>
          <w:numId w:val="11"/>
        </w:numPr>
        <w:shd w:val="clear" w:color="auto" w:fill="auto"/>
        <w:tabs>
          <w:tab w:pos="802" w:val="left"/>
        </w:tabs>
        <w:bidi w:val="0"/>
        <w:spacing w:before="0" w:after="0" w:line="252" w:lineRule="auto"/>
        <w:ind w:left="0" w:right="0" w:firstLine="460"/>
        <w:jc w:val="both"/>
      </w:pPr>
      <w:r>
        <w:rPr>
          <w:color w:val="000000"/>
          <w:spacing w:val="0"/>
          <w:w w:val="100"/>
          <w:position w:val="0"/>
          <w:shd w:val="clear" w:color="auto" w:fill="auto"/>
          <w:lang w:val="ru-RU" w:eastAsia="ru-RU" w:bidi="ru-RU"/>
        </w:rPr>
        <w:t>Второй довод необоснованный.</w:t>
      </w:r>
    </w:p>
    <w:p>
      <w:pPr>
        <w:pStyle w:val="Style15"/>
        <w:keepNext w:val="0"/>
        <w:keepLines w:val="0"/>
        <w:widowControl w:val="0"/>
        <w:numPr>
          <w:ilvl w:val="1"/>
          <w:numId w:val="11"/>
        </w:numPr>
        <w:shd w:val="clear" w:color="auto" w:fill="auto"/>
        <w:tabs>
          <w:tab w:pos="806" w:val="left"/>
        </w:tabs>
        <w:bidi w:val="0"/>
        <w:spacing w:before="0" w:after="0" w:line="252" w:lineRule="auto"/>
        <w:ind w:left="0" w:right="0" w:firstLine="460"/>
        <w:jc w:val="both"/>
      </w:pPr>
      <w:r>
        <w:rPr>
          <w:color w:val="000000"/>
          <w:spacing w:val="0"/>
          <w:w w:val="100"/>
          <w:position w:val="0"/>
          <w:shd w:val="clear" w:color="auto" w:fill="auto"/>
          <w:lang w:val="ru-RU" w:eastAsia="ru-RU" w:bidi="ru-RU"/>
        </w:rPr>
        <w:t>Третий довод обоснованный.</w:t>
      </w:r>
    </w:p>
    <w:p>
      <w:pPr>
        <w:pStyle w:val="Style15"/>
        <w:keepNext w:val="0"/>
        <w:keepLines w:val="0"/>
        <w:widowControl w:val="0"/>
        <w:numPr>
          <w:ilvl w:val="0"/>
          <w:numId w:val="11"/>
        </w:numPr>
        <w:shd w:val="clear" w:color="auto" w:fill="auto"/>
        <w:tabs>
          <w:tab w:pos="711" w:val="left"/>
        </w:tabs>
        <w:bidi w:val="0"/>
        <w:spacing w:before="0" w:after="0" w:line="252" w:lineRule="auto"/>
        <w:ind w:left="0" w:right="0" w:firstLine="480"/>
        <w:jc w:val="both"/>
      </w:pPr>
      <w:r>
        <w:rPr>
          <w:color w:val="000000"/>
          <w:spacing w:val="0"/>
          <w:w w:val="100"/>
          <w:position w:val="0"/>
          <w:shd w:val="clear" w:color="auto" w:fill="auto"/>
          <w:lang w:val="ru-RU" w:eastAsia="ru-RU" w:bidi="ru-RU"/>
        </w:rPr>
        <w:t>Признать в действиях Заказчика — муниципального казенного учреждения города Нягани «Управление городского хозяйства», Уполномоченного органа — Администрации города Нягани нарушение положений части 3 статьи 7 Федерального закона от 05.04.2013 И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numPr>
          <w:ilvl w:val="0"/>
          <w:numId w:val="11"/>
        </w:numPr>
        <w:shd w:val="clear" w:color="auto" w:fill="auto"/>
        <w:tabs>
          <w:tab w:pos="1133" w:val="left"/>
        </w:tabs>
        <w:bidi w:val="0"/>
        <w:spacing w:before="0" w:after="0" w:line="252" w:lineRule="auto"/>
        <w:ind w:left="0" w:right="0" w:firstLine="480"/>
        <w:jc w:val="both"/>
      </w:pPr>
      <w:r>
        <w:rPr>
          <w:color w:val="000000"/>
          <w:spacing w:val="0"/>
          <w:w w:val="100"/>
          <w:position w:val="0"/>
          <w:shd w:val="clear" w:color="auto" w:fill="auto"/>
          <w:lang w:val="ru-RU" w:eastAsia="ru-RU" w:bidi="ru-RU"/>
        </w:rPr>
        <w:t>Выдать обязательное для исполнения предписание.</w:t>
      </w:r>
    </w:p>
    <w:p>
      <w:pPr>
        <w:pStyle w:val="Style15"/>
        <w:keepNext w:val="0"/>
        <w:keepLines w:val="0"/>
        <w:widowControl w:val="0"/>
        <w:numPr>
          <w:ilvl w:val="0"/>
          <w:numId w:val="11"/>
        </w:numPr>
        <w:shd w:val="clear" w:color="auto" w:fill="auto"/>
        <w:tabs>
          <w:tab w:pos="706" w:val="left"/>
        </w:tabs>
        <w:bidi w:val="0"/>
        <w:spacing w:before="0" w:after="0" w:line="252" w:lineRule="auto"/>
        <w:ind w:left="0" w:right="0" w:firstLine="48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5"/>
        <w:keepNext w:val="0"/>
        <w:keepLines w:val="0"/>
        <w:widowControl w:val="0"/>
        <w:numPr>
          <w:ilvl w:val="0"/>
          <w:numId w:val="11"/>
        </w:numPr>
        <w:shd w:val="clear" w:color="auto" w:fill="auto"/>
        <w:tabs>
          <w:tab w:pos="706" w:val="left"/>
        </w:tabs>
        <w:bidi w:val="0"/>
        <w:spacing w:before="0" w:after="520" w:line="252" w:lineRule="auto"/>
        <w:ind w:left="0" w:right="0" w:firstLine="480"/>
        <w:jc w:val="both"/>
      </w:pPr>
      <w:r>
        <w:rPr>
          <w:color w:val="000000"/>
          <w:spacing w:val="0"/>
          <w:w w:val="100"/>
          <w:position w:val="0"/>
          <w:shd w:val="clear" w:color="auto" w:fill="auto"/>
          <w:lang w:val="ru-RU" w:eastAsia="ru-RU" w:bidi="ru-RU"/>
        </w:rPr>
        <w:t xml:space="preserve">Направить данное решение сторонам и опубликовать на официальном сайте единой информационной системы в сфере закупок (\ууу\у.2акирк1.§оу.ги). </w:t>
      </w:r>
      <w:r>
        <w:rPr>
          <w:color w:val="36268B"/>
          <w:spacing w:val="0"/>
          <w:w w:val="100"/>
          <w:position w:val="0"/>
          <w:shd w:val="clear" w:color="auto" w:fill="auto"/>
          <w:lang w:val="ru-RU" w:eastAsia="ru-RU" w:bidi="ru-RU"/>
        </w:rPr>
        <w:t>/ / /</w:t>
      </w:r>
    </w:p>
    <w:p>
      <w:pPr>
        <w:pStyle w:val="Style15"/>
        <w:keepNext w:val="0"/>
        <w:keepLines w:val="0"/>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320" w:line="240" w:lineRule="auto"/>
        <w:ind w:left="0" w:right="460" w:firstLine="0"/>
        <w:jc w:val="right"/>
      </w:pPr>
      <w:r>
        <mc:AlternateContent>
          <mc:Choice Requires="wps">
            <w:drawing>
              <wp:anchor distT="0" distB="447675" distL="114300" distR="208915" simplePos="0" relativeHeight="125829380" behindDoc="0" locked="0" layoutInCell="1" allowOverlap="1">
                <wp:simplePos x="0" y="0"/>
                <wp:positionH relativeFrom="page">
                  <wp:posOffset>4049395</wp:posOffset>
                </wp:positionH>
                <wp:positionV relativeFrom="margin">
                  <wp:posOffset>2363470</wp:posOffset>
                </wp:positionV>
                <wp:extent cx="667385" cy="128270"/>
                <wp:wrapSquare wrapText="left"/>
                <wp:docPr id="8" name="Shape 8"/>
                <a:graphic xmlns:a="http://schemas.openxmlformats.org/drawingml/2006/main">
                  <a:graphicData uri="http://schemas.microsoft.com/office/word/2010/wordprocessingShape">
                    <wps:wsp>
                      <wps:cNvSpPr txBox="1"/>
                      <wps:spPr>
                        <a:xfrm>
                          <a:ext cx="667385"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Р.Р. Валиуллин</w:t>
                            </w:r>
                          </w:p>
                        </w:txbxContent>
                      </wps:txbx>
                      <wps:bodyPr wrap="none" lIns="0" tIns="0" rIns="0" bIns="0">
                        <a:noAutoFit/>
                      </wps:bodyPr>
                    </wps:wsp>
                  </a:graphicData>
                </a:graphic>
              </wp:anchor>
            </w:drawing>
          </mc:Choice>
          <mc:Fallback>
            <w:pict>
              <v:shape id="_x0000_s1034" type="#_x0000_t202" style="position:absolute;margin-left:318.85000000000002pt;margin-top:186.09999999999999pt;width:52.550000000000004pt;height:10.1pt;z-index:-125829373;mso-wrap-distance-left:9.pt;mso-wrap-distance-right:16.449999999999999pt;mso-wrap-distance-bottom:35.25pt;mso-position-horizontal-relative:page;mso-position-vertical-relative:margin"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Р.Р. Валиуллин</w:t>
                      </w:r>
                    </w:p>
                  </w:txbxContent>
                </v:textbox>
                <w10:wrap type="square" side="left" anchorx="page" anchory="margin"/>
              </v:shape>
            </w:pict>
          </mc:Fallback>
        </mc:AlternateContent>
      </w:r>
      <w:r>
        <mc:AlternateContent>
          <mc:Choice Requires="wps">
            <w:drawing>
              <wp:anchor distT="454025" distB="0" distL="126365" distR="114300" simplePos="0" relativeHeight="125829382" behindDoc="0" locked="0" layoutInCell="1" allowOverlap="1">
                <wp:simplePos x="0" y="0"/>
                <wp:positionH relativeFrom="page">
                  <wp:posOffset>4061460</wp:posOffset>
                </wp:positionH>
                <wp:positionV relativeFrom="margin">
                  <wp:posOffset>2817495</wp:posOffset>
                </wp:positionV>
                <wp:extent cx="749935" cy="121920"/>
                <wp:wrapSquare wrapText="left"/>
                <wp:docPr id="10" name="Shape 10"/>
                <a:graphic xmlns:a="http://schemas.openxmlformats.org/drawingml/2006/main">
                  <a:graphicData uri="http://schemas.microsoft.com/office/word/2010/wordprocessingShape">
                    <wps:wsp>
                      <wps:cNvSpPr txBox="1"/>
                      <wps:spPr>
                        <a:xfrm>
                          <a:ext cx="749935" cy="12192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Иванчикова</w:t>
                            </w:r>
                          </w:p>
                        </w:txbxContent>
                      </wps:txbx>
                      <wps:bodyPr wrap="none" lIns="0" tIns="0" rIns="0" bIns="0">
                        <a:noAutoFit/>
                      </wps:bodyPr>
                    </wps:wsp>
                  </a:graphicData>
                </a:graphic>
              </wp:anchor>
            </w:drawing>
          </mc:Choice>
          <mc:Fallback>
            <w:pict>
              <v:shape id="_x0000_s1036" type="#_x0000_t202" style="position:absolute;margin-left:319.80000000000001pt;margin-top:221.84999999999999pt;width:59.050000000000004pt;height:9.5999999999999996pt;z-index:-125829371;mso-wrap-distance-left:9.9500000000000011pt;mso-wrap-distance-top:35.75pt;mso-wrap-distance-right:9.pt;mso-position-horizontal-relative:page;mso-position-vertical-relative:margin"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Иванчикова</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М.С. Смоль</w:t>
      </w:r>
    </w:p>
    <w:p>
      <w:pPr>
        <w:pStyle w:val="Style7"/>
        <w:keepNext w:val="0"/>
        <w:keepLines w:val="0"/>
        <w:widowControl w:val="0"/>
        <w:shd w:val="clear" w:color="auto" w:fill="auto"/>
        <w:bidi w:val="0"/>
        <w:spacing w:before="0" w:after="0" w:line="276" w:lineRule="auto"/>
        <w:ind w:left="0" w:right="0" w:firstLine="480"/>
        <w:jc w:val="left"/>
      </w:pPr>
      <w:r>
        <w:drawing>
          <wp:anchor distT="0" distB="0" distL="0" distR="0" simplePos="0" relativeHeight="62914694" behindDoc="1" locked="0" layoutInCell="1" allowOverlap="1">
            <wp:simplePos x="0" y="0"/>
            <wp:positionH relativeFrom="margin">
              <wp:posOffset>2097405</wp:posOffset>
            </wp:positionH>
            <wp:positionV relativeFrom="margin">
              <wp:posOffset>1631950</wp:posOffset>
            </wp:positionV>
            <wp:extent cx="1633855" cy="2176145"/>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9"/>
                    <a:stretch/>
                  </pic:blipFill>
                  <pic:spPr>
                    <a:xfrm>
                      <a:ext cx="1633855" cy="2176145"/>
                    </a:xfrm>
                    <a:prstGeom prst="rect"/>
                  </pic:spPr>
                </pic:pic>
              </a:graphicData>
            </a:graphic>
          </wp:anchor>
        </w:drawing>
      </w: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бытКЪбжаловано в судебной порядке в течение трех месяцев с даты принятия.</w:t>
      </w:r>
    </w:p>
    <w:sectPr>
      <w:footnotePr>
        <w:pos w:val="pageBottom"/>
        <w:numFmt w:val="decimal"/>
        <w:numRestart w:val="continuous"/>
      </w:footnotePr>
      <w:type w:val="continuous"/>
      <w:pgSz w:w="8400" w:h="11900"/>
      <w:pgMar w:top="596" w:right="664" w:bottom="1231" w:left="96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654050</wp:posOffset>
              </wp:positionH>
              <wp:positionV relativeFrom="page">
                <wp:posOffset>6838315</wp:posOffset>
              </wp:positionV>
              <wp:extent cx="423545" cy="73025"/>
              <wp:wrapNone/>
              <wp:docPr id="2" name="Shape 2"/>
              <a:graphic xmlns:a="http://schemas.openxmlformats.org/drawingml/2006/main">
                <a:graphicData uri="http://schemas.microsoft.com/office/word/2010/wordprocessingShape">
                  <wps:wsp>
                    <wps:cNvSpPr txBox="1"/>
                    <wps:spPr>
                      <a:xfrm>
                        <a:ext cx="42354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2024-7150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1.5pt;margin-top:538.45000000000005pt;width:33.350000000000001pt;height:5.7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715010</wp:posOffset>
              </wp:positionH>
              <wp:positionV relativeFrom="page">
                <wp:posOffset>6704965</wp:posOffset>
              </wp:positionV>
              <wp:extent cx="441960" cy="73025"/>
              <wp:wrapNone/>
              <wp:docPr id="4" name="Shape 4"/>
              <a:graphic xmlns:a="http://schemas.openxmlformats.org/drawingml/2006/main">
                <a:graphicData uri="http://schemas.microsoft.com/office/word/2010/wordprocessingShape">
                  <wps:wsp>
                    <wps:cNvSpPr txBox="1"/>
                    <wps:spPr>
                      <a:xfrm>
                        <a:ext cx="44196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2024-7150</w:t>
                          </w:r>
                        </w:p>
                      </w:txbxContent>
                    </wps:txbx>
                    <wps:bodyPr wrap="none" lIns="0" tIns="0" rIns="0" bIns="0">
                      <a:spAutoFit/>
                    </wps:bodyPr>
                  </wps:wsp>
                </a:graphicData>
              </a:graphic>
            </wp:anchor>
          </w:drawing>
        </mc:Choice>
        <mc:Fallback>
          <w:pict>
            <v:shape id="_x0000_s1030" type="#_x0000_t202" style="position:absolute;margin-left:56.300000000000004pt;margin-top:527.95000000000005pt;width:34.800000000000004pt;height:5.7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2024-7150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3"/>
      <w:szCs w:val="13"/>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iCs/>
      <w:smallCaps w:val="0"/>
      <w:strike w:val="0"/>
      <w:sz w:val="10"/>
      <w:szCs w:val="10"/>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color w:val="36268B"/>
      <w:u w:val="single"/>
    </w:rPr>
  </w:style>
  <w:style w:type="character" w:customStyle="1" w:styleId="CharStyle14">
    <w:name w:val="Заголовок №3_"/>
    <w:basedOn w:val="DefaultParagraphFont"/>
    <w:link w:val="Style13"/>
    <w:rPr>
      <w:rFonts w:ascii="Times New Roman" w:eastAsia="Times New Roman" w:hAnsi="Times New Roman" w:cs="Times New Roman"/>
      <w:b/>
      <w:bCs/>
      <w:i w:val="0"/>
      <w:iCs w:val="0"/>
      <w:smallCaps w:val="0"/>
      <w:strike w:val="0"/>
      <w:sz w:val="15"/>
      <w:szCs w:val="15"/>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15"/>
      <w:szCs w:val="15"/>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2"/>
      <w:szCs w:val="32"/>
      <w:u w:val="none"/>
    </w:rPr>
  </w:style>
  <w:style w:type="character" w:customStyle="1" w:styleId="CharStyle20">
    <w:name w:val="Подпись к таблице_"/>
    <w:basedOn w:val="DefaultParagraphFont"/>
    <w:link w:val="Style19"/>
    <w:rPr>
      <w:rFonts w:ascii="Times New Roman" w:eastAsia="Times New Roman" w:hAnsi="Times New Roman" w:cs="Times New Roman"/>
      <w:b w:val="0"/>
      <w:bCs w:val="0"/>
      <w:i w:val="0"/>
      <w:iCs w:val="0"/>
      <w:smallCaps w:val="0"/>
      <w:strike w:val="0"/>
      <w:sz w:val="15"/>
      <w:szCs w:val="15"/>
      <w:u w:val="singl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15"/>
      <w:szCs w:val="15"/>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252" w:lineRule="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7">
    <w:name w:val="Основной текст (2)"/>
    <w:basedOn w:val="Normal"/>
    <w:link w:val="CharStyle8"/>
    <w:pPr>
      <w:widowControl w:val="0"/>
      <w:shd w:val="clear" w:color="auto" w:fill="auto"/>
      <w:spacing w:line="257" w:lineRule="auto"/>
      <w:ind w:firstLine="340"/>
    </w:pPr>
    <w:rPr>
      <w:rFonts w:ascii="Times New Roman" w:eastAsia="Times New Roman" w:hAnsi="Times New Roman" w:cs="Times New Roman"/>
      <w:b w:val="0"/>
      <w:bCs w:val="0"/>
      <w:i/>
      <w:iCs/>
      <w:smallCaps w:val="0"/>
      <w:strike w:val="0"/>
      <w:sz w:val="10"/>
      <w:szCs w:val="10"/>
      <w:u w:val="none"/>
    </w:rPr>
  </w:style>
  <w:style w:type="paragraph" w:customStyle="1" w:styleId="Style10">
    <w:name w:val="Заголовок №2"/>
    <w:basedOn w:val="Normal"/>
    <w:link w:val="CharStyle11"/>
    <w:pPr>
      <w:widowControl w:val="0"/>
      <w:shd w:val="clear" w:color="auto" w:fill="auto"/>
      <w:spacing w:after="80"/>
      <w:outlineLvl w:val="1"/>
    </w:pPr>
    <w:rPr>
      <w:rFonts w:ascii="Times New Roman" w:eastAsia="Times New Roman" w:hAnsi="Times New Roman" w:cs="Times New Roman"/>
      <w:b w:val="0"/>
      <w:bCs w:val="0"/>
      <w:i w:val="0"/>
      <w:iCs w:val="0"/>
      <w:smallCaps w:val="0"/>
      <w:strike w:val="0"/>
      <w:color w:val="36268B"/>
      <w:u w:val="single"/>
    </w:rPr>
  </w:style>
  <w:style w:type="paragraph" w:customStyle="1" w:styleId="Style13">
    <w:name w:val="Заголовок №3"/>
    <w:basedOn w:val="Normal"/>
    <w:link w:val="CharStyle14"/>
    <w:pPr>
      <w:widowControl w:val="0"/>
      <w:shd w:val="clear" w:color="auto" w:fill="auto"/>
      <w:outlineLvl w:val="2"/>
    </w:pPr>
    <w:rPr>
      <w:rFonts w:ascii="Times New Roman" w:eastAsia="Times New Roman" w:hAnsi="Times New Roman" w:cs="Times New Roman"/>
      <w:b/>
      <w:bCs/>
      <w:i w:val="0"/>
      <w:iCs w:val="0"/>
      <w:smallCaps w:val="0"/>
      <w:strike w:val="0"/>
      <w:sz w:val="15"/>
      <w:szCs w:val="15"/>
      <w:u w:val="none"/>
    </w:rPr>
  </w:style>
  <w:style w:type="paragraph" w:customStyle="1" w:styleId="Style15">
    <w:name w:val="Основной текст"/>
    <w:basedOn w:val="Normal"/>
    <w:link w:val="CharStyle16"/>
    <w:pPr>
      <w:widowControl w:val="0"/>
      <w:shd w:val="clear" w:color="auto" w:fill="auto"/>
      <w:ind w:firstLine="340"/>
    </w:pPr>
    <w:rPr>
      <w:rFonts w:ascii="Times New Roman" w:eastAsia="Times New Roman" w:hAnsi="Times New Roman" w:cs="Times New Roman"/>
      <w:b w:val="0"/>
      <w:bCs w:val="0"/>
      <w:i w:val="0"/>
      <w:iCs w:val="0"/>
      <w:smallCaps w:val="0"/>
      <w:strike w:val="0"/>
      <w:sz w:val="15"/>
      <w:szCs w:val="15"/>
      <w:u w:val="none"/>
    </w:rPr>
  </w:style>
  <w:style w:type="paragraph" w:customStyle="1" w:styleId="Style17">
    <w:name w:val="Заголовок №1"/>
    <w:basedOn w:val="Normal"/>
    <w:link w:val="CharStyle18"/>
    <w:pPr>
      <w:widowControl w:val="0"/>
      <w:shd w:val="clear" w:color="auto" w:fill="auto"/>
      <w:spacing w:after="180"/>
      <w:outlineLvl w:val="0"/>
    </w:pPr>
    <w:rPr>
      <w:rFonts w:ascii="Arial" w:eastAsia="Arial" w:hAnsi="Arial" w:cs="Arial"/>
      <w:b w:val="0"/>
      <w:bCs w:val="0"/>
      <w:i w:val="0"/>
      <w:iCs w:val="0"/>
      <w:smallCaps w:val="0"/>
      <w:strike w:val="0"/>
      <w:sz w:val="32"/>
      <w:szCs w:val="32"/>
      <w:u w:val="none"/>
    </w:rPr>
  </w:style>
  <w:style w:type="paragraph" w:customStyle="1" w:styleId="Style19">
    <w:name w:val="Подпись к таблице"/>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15"/>
      <w:szCs w:val="15"/>
      <w:u w:val="single"/>
    </w:rPr>
  </w:style>
  <w:style w:type="paragraph" w:customStyle="1" w:styleId="Style22">
    <w:name w:val="Другое"/>
    <w:basedOn w:val="Normal"/>
    <w:link w:val="CharStyle23"/>
    <w:pPr>
      <w:widowControl w:val="0"/>
      <w:shd w:val="clear" w:color="auto" w:fill="auto"/>
      <w:ind w:firstLine="340"/>
    </w:pPr>
    <w:rPr>
      <w:rFonts w:ascii="Times New Roman" w:eastAsia="Times New Roman" w:hAnsi="Times New Roman" w:cs="Times New Roman"/>
      <w:b w:val="0"/>
      <w:bCs w:val="0"/>
      <w:i w:val="0"/>
      <w:iCs w:val="0"/>
      <w:smallCaps w:val="0"/>
      <w:strike w:val="0"/>
      <w:sz w:val="15"/>
      <w:szCs w:val="15"/>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