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2278" w:val="left"/>
        </w:tabs>
        <w:bidi w:val="0"/>
        <w:spacing w:before="0" w:after="0" w:line="240" w:lineRule="auto"/>
        <w:ind w:left="0" w:right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40392/24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«Международная медицинская компания» огдег@ттедсо.ги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В.П. Демихова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Уа1&lt;ппе111&lt;оВУ@/с1гау.тоуп1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983" w:bottom="708" w:left="819" w:header="0" w:footer="3" w:gutter="0"/>
          <w:pgNumType w:start="1"/>
          <w:cols w:num="2" w:space="107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ко@го81ез1огд.ги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490" w:h="240" w:wrap="none" w:vAnchor="text" w:hAnchor="page" w:x="62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455F9D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  <w:r>
        <w:drawing>
          <wp:anchor distT="450850" distB="0" distL="0" distR="103505" simplePos="0" relativeHeight="62914696" behindDoc="1" locked="0" layoutInCell="1" allowOverlap="1">
            <wp:simplePos x="0" y="0"/>
            <wp:positionH relativeFrom="page">
              <wp:posOffset>385445</wp:posOffset>
            </wp:positionH>
            <wp:positionV relativeFrom="paragraph">
              <wp:posOffset>463550</wp:posOffset>
            </wp:positionV>
            <wp:extent cx="219710" cy="21336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1" w:bottom="649" w:left="59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8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4" w:right="0" w:bottom="7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4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077/06/106-13175/2024 о нарушении</w:t>
        <w:br/>
        <w:t>законодательства о контрактной системе</w:t>
        <w:br/>
        <w:t>26.09.2024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разряда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«Международная медицинская компания»: Кириллова В.С. (по доверенности № б/н от 11.03.2024);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В.П. Демихова ДЗМ»: Орехова Д.В. (по доверенности № б/н от 25.09.2024), Соколова В.В. (по доверенности № 007 от 23.09.2024);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«Международная медицинская компания» (далее — Заявитель) на действия ГБУЗ «ГКБ им. В.П. Демихова ДЗМ» (далее — Заказчик) при проведении запроса котировок в электронной форме на право заключения контракта на поставку реагентов для анализаторов автоматических АВ^800, производства «Кадюте1;ег МеШса1 Ар8» для нужд ГБУЗ «ГКБ имени В.П. Демихова ДЗМ» в 2024г. (Закупка №0373200100124000686) (далее -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394970</wp:posOffset>
            </wp:positionH>
            <wp:positionV relativeFrom="paragraph">
              <wp:posOffset>63500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запроса котировок.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системе, в частности в неправомерном объединении в один лот поставки медицинских изделий разных видов по номенклатурной классификации медицинских изделий, что противоречит требованиям постановления Правительства Российской Федерации от 19 апреля 2021 г.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— Постановление №620).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 ч.29 ст.34 Закона о контрактной системе установлено, что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Постановления №620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1,5 млн. рублей - для заказчиков, у которых объем денежных средств, направленных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закупку медицинских изделий в предшествующем году, составил более 100 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п.2 Постановления №620 установлено, что указанное в п.1 Постановления №620 требование не применяется: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111.4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аукциона, начальная (максимальная) цена контракта составляет 2 984 877,98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1 к приказу Министерства здравоохранения Российской Федерации от 6 июня 2012 года № 4н «Об утверждении номенклатурной классификации медицинских изделий» (далее - Номенклатурная классификация) номенклатурная классификация медицинских изделий по видам (далее - классификация) содержит числовое обозначение вида медицинского изделия - 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Фиксируется начальное значение 100000 и для каждой последующей записи значение увеличивается на 10.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Алгоритм формирования, применяемый для ведения номенклатурной классификации медицинских изделий по видам, представлен на схеме: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449570" cy="1645920"/>
            <wp:docPr id="12" name="Picut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449570" cy="1645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в перечне информации об объекте закупки извещения об осуществлении закупки необходимые к поставке товары по мнению Заявителя подразделяются, в том числе, например, на следующие виды медицинских изделий: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«Промывочный раствор, для анализатора кислотно-щелочного и газового состава крови АВ^800Г1еx (версия без креатинина), производства КаШоте1:ег МеШса1 Лр8, каталожный номер 944-132», с кодом ОКПД2 21.20.23.111 «Препараты диагностические», соответствующий коду вида в номенклатурной классификации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медицинских изделий по видам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160170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«Буферный промывающий раствор ИВД, автоматические/полуавтоматические системы»;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2 «Калибровочный раствор 1, для анализатора кислотно-щелочного и газового состава крови АВ^800Г1е\ (версия без креатинина), производства КасПошеДег Мес11са1 Ар8, каталожный номер 944-128», с кодом ОКПД2 21.20.23.111 «Препараты диагностические», соответствующий коду вида в номенклатурной классификации медицинских изделий по видам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136990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«Стандартный образец для калибровки/контроля лабораторных оптических приборов ИВД, одноразового использования»;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3 «Калибровочный раствор 2, для анализатора кислотно-щелочного и газового состава крови АВ1.8001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1е\ (версия без креатинина), производства ВасПошеДег Мес11са1 Ар8, каталожный номер 944-129», с кодом ОКПД2 21.20.23.111 «Препараты диагностические», соответствующий коду вида в номенклатурной классификации медицинских изделий по видам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136990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«Стандартный образец для калибровки/контроля лабораторных оптических приборов ИВД, одноразового использования»;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4 «Очистной раствор, для анализатора кислотно-щелочного и газового состава крови АВВ 800, производства КаСюте1:ег, каталожный номер 944-126», с кодом ОКПД2 21.20.23.111 «Препараты диагностические», соответствующий коду вида в номенклатурной классификации медицинских изделий по видам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109770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«Моющий/чистящий раствор ИВД, для автоматических/полуавтоматических систем».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номенклатурной классификации каждый отдельный вид медицинского изделия обладает уникальным идентификационным номером записи в формате шестизначного кода, при этом номенклатурная классификация также содержит классификации видов медицинских изделий по группам и подгруппам, при этом Постановлением № 620 однозначно указано, что предметом одного контракта (одного лота) не могут быть медицинские изделия различных видов.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эффективность закупаемых реагентов и расходных материалами при проведении исследования безопасности крови достигается исключительно при их совместном, комплексном и одномоментном применении (использовании).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Нарушение комплектности (отсутствие одного или более реагентов из закупаемых, нарушение сроков их поставки, несоблюдение холодового режима) является основанием невозможности выполнения соответствующего анализа, срыва производственного процесса и нарушения порядка медицинского обследования пациентов, что ставит под угрозу выполнение задач Заказчиком в целом, а значит, жизнь и здоровье пациентов, которым требуется анализ компонентов крови.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отсутствии одного или нескольких из указанных реагентов, Заказчик будет лишен возможности осуществлять лабораторную диагностику в части контроля безопасности крови, что непосредственно ставит под угрозу жизнь и здоровье пациентов.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представитель Заказчика пояснил, что в соответствии с технической документацией на имеющихся у Заказчика анализаторах ВасПотеДег Мес11са1 Ар8, данное оборудование требует использования оригинальных расходных материалов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принадлежностей производства Кас11оше1ег Мес11са1.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Руководстве пользователя на анализатор указаны совместимые с анализатором расходные материалы с указанием каталожных номеров, которые прошли соответствующие испытания при регистрации медицинских изделий и безопасность их использования подтверждена производителем.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Вышеизложенное свидетельствует о том, что реагенты с расходными материалами исключительно в закупаемом составе необходимы Заказчику в целях обеспечения объективных потребностей при медицинских обследованиях пациентов и лабораторном контроле безопасности крови и используются Заказчиком в неразрывном единстве при одновременном их использовании в целях проведения диагностических медицинских манипуляций.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3 ст. 38 Федерального закона от 21.11.2011 № 323 «Об основах охраны здоровья граждан в Российской Федерации» (далее — Закон об основах охраны здоровья),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3 ст. 38 Закона об основах охраны здоровья инструкция по применению (эксплуатационная документация) является неотъемлемой частью технической документации на медицинское изделие и определяет способ применения медицинского изделия, в том числе перечень необходимых для применения медицинского изделия расходных материалов.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ст. 38 Закон об основах охраны здоровья, медицинскими изделиями являются любые инструменты, аппараты, приборы, оборудование, материалы и прочие изделия, применяемые в медицинских целях отдельно или в сочетании между собой.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ГОСТ 1ЕС 62304-2022 «Изделия медицинские. Программное обеспечение. Процессы жизненного цикла" утвержден приказом Росстандарта от 26 октября 2022 года № 1196-ст», медицинское изделие - любой инструмент, аппарат, прибор, устройство, оборудование, имплантат, т \Лго реагент или калибратор, программное обеспечение, материал либо иные подобные или связанные с ними изделия, предназначенные изготовителем для применения по отдельности или в сочетании друг с другом.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регистрационное удостоверение — это главный разрешительный документ для медицинских изделий, который подтверждает факт государственной регистрации медицинского изделия Федеральной службой по надзору в сфере здравоохранения, его соответствие технической и эксплуатационной документации производителя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Заказчика, медицинское изделие с расходными материалами исключительно в закупаемом составе необходимы Заказчику при оказании им медицинской помощи населению и используются Заказчиком в неразрывном единстве при одновременном их использовании в целях проведения диагностических медицинских манипуляций.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представитель Заказчика отмечает, что к положениям извещения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аукциона применимы положения п.2 Постановления №620, а именно абз.3 п.2 которым установлено, что указанное в п.1 требование не распространяется на закупки медицинских изделий, объединенных в один лот (контракт) с расходными материалами, которые совместимы с такими медицинскими изделиями.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Комиссия Управления отмечает, что запрет, установленный п.1 Постановления № 620 не применяется, в том числе, в случае закупки Заказчиком медицинских изделий, обладающих кодом вида медицинского изделия и расходных материалов к таким изделиям, которые так же обладают кодом вида медицинского изделия согласно номенклатурной классификации, в то время как Заказчиком, в рамках обжалуемой процедуры,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закупается медицинское изделие, для которого предназначены содержащиеся в описании объекта закупки товары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все без исключения являющиеся расходным материалом для анализаторов Кас11оше1ег Мес11са1 Ар8 имеющихся в наличии у Заказчика, ввиду чего положения п. 2 Постановления № 620 (о неприменении п.1 Постановления № 620) не могут быть применены в данном конкретном случае.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буквального толкования названной нормы следует, что для применения исключения п. 2 Постановления №620, необходимо закупать в том числе сами медицинские изделия, для которого предусмотрены расходные материалы, обладающие уникальным кодом вида медицинского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действия Заказчика по своей сути делают ничтожными требования п. 1 постановления № 620, запрещающих при превышении определенного размера начальной (максимальной) цены контракта закупать в составе одного лота медицинские изделия различных видов.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Иное трактование вышеуказанных положения свидетельствовало бы о возможности проводить закупки, сформированные из любых медицинских изделий при условии включения в состав лота какого-либо расходного материала, который в свою очередь так же может являться медицинским изделием со своим видом по номенклатурной классификации, так или иначе совместимого в рамках одной медицинской деятельности.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нарушении требований постановления № 620, что свидетельствует о необходимости снижения количества закупаемого товара в целях удовлетворения требований по отношении к предельному размеру начальной (максимальной) цены контракта, чтобы тем самым Заказчик реализовал право на совместную закупку медицинских изделий различных видов.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всего вышеизложенного, Комиссия Управления приходит к выводу о нарушении Заказчиком п. 2 ч. 29 ст. 34 Закона о контрактной системе при объединении в один лот медицинских изделий, относящихся к разным видам номенклатурной классификации, вместе с этим в действиях Заказчика усматриваются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«Международная медицинская компания» на действия ГБУЗ «ГКБ им. В.П. Демихова ДЗМ»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п.2 ч.29 ст.34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4" w:right="534" w:bottom="779" w:left="5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9" behindDoc="0" locked="0" layoutInCell="1" allowOverlap="1">
                <wp:simplePos x="0" y="0"/>
                <wp:positionH relativeFrom="page">
                  <wp:posOffset>410845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2.350000000000001pt;margin-top:10.pt;width:145.70000000000002pt;height:19.699999999999999pt;z-index:-125829374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1" behindDoc="0" locked="0" layoutInCell="1" allowOverlap="1">
            <wp:simplePos x="0" y="0"/>
            <wp:positionH relativeFrom="page">
              <wp:posOffset>3074670</wp:posOffset>
            </wp:positionH>
            <wp:positionV relativeFrom="paragraph">
              <wp:posOffset>200025</wp:posOffset>
            </wp:positionV>
            <wp:extent cx="34734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4.5pt;margin-top:22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2" behindDoc="0" locked="0" layoutInCell="1" allowOverlap="1">
                <wp:simplePos x="0" y="0"/>
                <wp:positionH relativeFrom="page">
                  <wp:posOffset>6323965</wp:posOffset>
                </wp:positionH>
                <wp:positionV relativeFrom="paragraph">
                  <wp:posOffset>127000</wp:posOffset>
                </wp:positionV>
                <wp:extent cx="88709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7.94999999999999pt;margin-top:10.pt;width:69.850000000000009pt;height:19.699999999999999pt;z-index:-125829371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0084Е434Е5152Е57С032С1780ВА4А68226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40" w:bottom="3846" w:left="5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356870" distL="0" distR="0" simplePos="0" relativeHeight="125829384" behindDoc="0" locked="0" layoutInCell="1" allowOverlap="1">
                <wp:simplePos x="0" y="0"/>
                <wp:positionH relativeFrom="page">
                  <wp:posOffset>410845</wp:posOffset>
                </wp:positionH>
                <wp:positionV relativeFrom="paragraph">
                  <wp:posOffset>254000</wp:posOffset>
                </wp:positionV>
                <wp:extent cx="134112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2.350000000000001pt;margin-top:20.pt;width:105.60000000000001pt;height:19.900000000000002pt;z-index:-125829369;mso-wrap-distance-left:0;mso-wrap-distance-top:2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0200" distB="0" distL="0" distR="1786255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330200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3528695</wp:posOffset>
                </wp:positionH>
                <wp:positionV relativeFrom="paragraph">
                  <wp:posOffset>729615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85000000000002pt;margin-top:57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418465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4.5pt;margin-top:32.95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356870" distL="0" distR="0" simplePos="0" relativeHeight="125829387" behindDoc="0" locked="0" layoutInCell="1" allowOverlap="1">
                <wp:simplePos x="0" y="0"/>
                <wp:positionH relativeFrom="page">
                  <wp:posOffset>5829935</wp:posOffset>
                </wp:positionH>
                <wp:positionV relativeFrom="paragraph">
                  <wp:posOffset>254000</wp:posOffset>
                </wp:positionV>
                <wp:extent cx="134747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9.05000000000001pt;margin-top:20.pt;width:106.10000000000001pt;height:19.900000000000002pt;z-index:-125829366;mso-wrap-distance-left:0;mso-wrap-distance-top:2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2Е366ЕСЗОЕЕ90208968ЕА4В2С7060465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right="0" w:firstLine="0"/>
        <w:jc w:val="left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35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3075305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4.55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00803Е817690Е8688Э01Е612СЗС6В74577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0" w:bottom="1158" w:left="5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401955</wp:posOffset>
              </wp:positionH>
              <wp:positionV relativeFrom="page">
                <wp:posOffset>10057130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1.650000000000002pt;margin-top:791.89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398145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1.350000000000001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3763645</wp:posOffset>
              </wp:positionH>
              <wp:positionV relativeFrom="page">
                <wp:posOffset>440690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6.35000000000002pt;margin-top:34.7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D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D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ind w:firstLine="4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00"/>
      <w:ind w:left="49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4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/Relationships>
</file>