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01.10.2024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40393/24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450000000000003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01.10.2024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40393/24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«Международная медицинская компания»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оМег@ттедсо.ги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В.П. Демихова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Уа1&lt;ппе111&lt;оВУ@/с1гау.тоуп1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1" w:bottom="592" w:left="5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ко@го81ез1огд.ги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12700</wp:posOffset>
            </wp:positionV>
            <wp:extent cx="2597150" cy="7010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0" w:bottom="8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077/06/106-13175/2024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разряда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 по делу №077/06/106-13175/2024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«Международная медицинская компания» (далее — Заявитель) на действия ГБУЗ «ГКБ им. В.П. Демихова ДЗМ» (далее — Заказчик) при проведении запроса котировок в электронной форме на право заключения контракта на поставку реагентов для анализаторов автоматических АВ^800, производства «Кадюте1;ег МеШса1 Ар8» для нужд ГБУЗ «ГКБ имени В.П. Демихова ДЗМ» в 2024г. (Закупка №0373200100124000686) (далее — запрос 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Котировочной комиссии отменить протокол подведения итогов определения поставщика (подрядчика, исполнителя) в случае его наличия.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запроса котировок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26.09.2024 по делу №077/06/106-13175/2024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разместить соответствующее извещение на Официальном сайте Российской Федерации в информационнотелекоммуникационной сети «Интернет» для размещения информации о размещении заказов на поставки товаров, выполнение работ, оказание услуг \\'\\л\'./а1&lt;ир1&lt;1.до\'.П1;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подачи котировочных заявок, дату и время начала подачи котировочных заявок, а также разместить на Официальном сайте информацию об указанных датах. При этом срок подачи заявок на участие в запросе котировок должен быть установлен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Заказчику, котировочной комиссии исполнения пунктов 1,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виде, а также по факсимильной связи (8(495) 607-42-92) или электронной почте по адресу: 1о77@Та^.до\\П1.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8" w:right="534" w:bottom="892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26.09.2024 по делу №077/06/106-13175/2024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79" w:right="550" w:bottom="42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9410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26.pt;width:145.70000000000002pt;height:19.699999999999999pt;z-index:-125829371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8.19999999999999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4.85000000000002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5" behindDoc="0" locked="0" layoutInCell="1" allowOverlap="1">
                <wp:simplePos x="0" y="0"/>
                <wp:positionH relativeFrom="page">
                  <wp:posOffset>6298565</wp:posOffset>
                </wp:positionH>
                <wp:positionV relativeFrom="paragraph">
                  <wp:posOffset>330200</wp:posOffset>
                </wp:positionV>
                <wp:extent cx="88392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5.94999999999999pt;margin-top:26.pt;width:69.600000000000009pt;height:19.699999999999999pt;z-index:-125829368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0084Е434Е5152Е57С032В1780ВА4А68220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9" w:right="550" w:bottom="42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6235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152400</wp:posOffset>
                </wp:positionV>
                <wp:extent cx="134112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950000000000003pt;margin-top:12.pt;width:105.60000000000001pt;height:19.699999999999999pt;z-index:-125829366;mso-wrap-distance-left:0;mso-wrap-distance-top:1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5425" distB="0" distL="0" distR="1786255" simplePos="0" relativeHeight="125829389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225425</wp:posOffset>
            </wp:positionV>
            <wp:extent cx="353695" cy="5365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624840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8.19999999999999pt;margin-top:49.2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313690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4.85000000000002pt;margin-top:24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56235" distL="0" distR="0" simplePos="0" relativeHeight="125829390" behindDoc="0" locked="0" layoutInCell="1" allowOverlap="1">
                <wp:simplePos x="0" y="0"/>
                <wp:positionH relativeFrom="page">
                  <wp:posOffset>5847715</wp:posOffset>
                </wp:positionH>
                <wp:positionV relativeFrom="paragraph">
                  <wp:posOffset>152400</wp:posOffset>
                </wp:positionV>
                <wp:extent cx="134747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0.44999999999999pt;margin-top:12.pt;width:106.10000000000001pt;height:19.699999999999999pt;z-index:-125829363;mso-wrap-distance-left:0;mso-wrap-distance-top:1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2Е366ЕОЗОЕЕ0О2О8968ЕА4В2С7О6О465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0" w:line="266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453390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8.19999999999999pt;margin-top:35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142240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4.85000000000002pt;margin-top:11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00803Е81769СЕ8688001Е612СЗС6В74577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7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50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10155555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2024-45508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799.64999999999998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2024-45508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2024-45508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8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2024-45508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