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12700</wp:posOffset>
                </wp:positionV>
                <wp:extent cx="847090" cy="25019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МИЦ СФР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25pt;margin-top:1.pt;width:66.700000000000003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МИЦ СФР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7079" w:bottom="621" w:left="16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4"/>
        <w:keepNext w:val="0"/>
        <w:keepLines w:val="0"/>
        <w:framePr w:w="1411" w:h="240" w:wrap="none" w:vAnchor="text" w:hAnchor="page" w:x="2514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2333" w:h="394" w:wrap="none" w:vAnchor="text" w:hAnchor="page" w:x="64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гадох@99.81г.домги</w:t>
      </w:r>
    </w:p>
    <w:p>
      <w:pPr>
        <w:pStyle w:val="Style4"/>
        <w:keepNext w:val="0"/>
        <w:keepLines w:val="0"/>
        <w:framePr w:w="1138" w:h="240" w:wrap="none" w:vAnchor="text" w:hAnchor="page" w:x="2653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framePr w:w="2453" w:h="461" w:wrap="none" w:vAnchor="text" w:hAnchor="page" w:x="1986" w:y="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2"/>
        <w:keepNext w:val="0"/>
        <w:keepLines w:val="0"/>
        <w:framePr w:w="4675" w:h="394" w:wrap="none" w:vAnchor="text" w:hAnchor="page" w:x="6416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«Группа компаний «АБАК-2000»</w:t>
      </w:r>
    </w:p>
    <w:p>
      <w:pPr>
        <w:pStyle w:val="Style4"/>
        <w:keepNext w:val="0"/>
        <w:keepLines w:val="0"/>
        <w:framePr w:w="3835" w:h="912" w:wrap="none" w:vAnchor="text" w:hAnchor="page" w:x="1270" w:y="14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framePr w:w="3835" w:h="912" w:wrap="none" w:vAnchor="text" w:hAnchor="page" w:x="1270" w:y="1427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40394/24</w:t>
      </w:r>
      <w:bookmarkEnd w:id="0"/>
    </w:p>
    <w:p>
      <w:pPr>
        <w:pStyle w:val="Style2"/>
        <w:keepNext w:val="0"/>
        <w:keepLines w:val="0"/>
        <w:framePr w:w="2400" w:h="398" w:wrap="none" w:vAnchor="text" w:hAnchor="page" w:x="6406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1епдег@аЪак2000.гн</w:t>
      </w:r>
    </w:p>
    <w:p>
      <w:pPr>
        <w:pStyle w:val="Style4"/>
        <w:keepNext w:val="0"/>
        <w:keepLines w:val="0"/>
        <w:framePr w:w="490" w:h="240" w:wrap="none" w:vAnchor="text" w:hAnchor="page" w:x="1141" w:y="2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9" w:right="0" w:bottom="7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№077/06/106-13236/2024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6405245</wp:posOffset>
                </wp:positionH>
                <wp:positionV relativeFrom="paragraph">
                  <wp:posOffset>38100</wp:posOffset>
                </wp:positionV>
                <wp:extent cx="795655" cy="21018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4.35000000000002pt;margin-top:3.pt;width:62.649999999999999pt;height:16.5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при участии представителей МИЦ СФР: Хатунцева Н.Н. (дов.№ ДК-33 от 09.01.2024), Куценко С.Н. (дов.ДК-21 от 09.012024),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«Группа компаний «АБАК-2000»,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«Группа компаний «АБАК-2000» (далее - Заявитель) на действия МИЦ СФР (далее — Заказчик) при проведении открытого конкурса в электронной форме на право заключения государственного контракта на выполнение работ по миграции программного обеспечения и данных ПТК СПУ на базе коммерческого ПО на программно-аппаратную платформу на основе открытого ПО (Закупка № 0273100001624000012)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закупки по детализирующему показателю «Наличие у участников закупки специалистов и иных работников определенного уровня квалификации»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 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п.4 ч.2 ст.42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Абз.1 п.1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2024-45697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п.25 Положения для оценки заявок по показателям оценки, предусмотренным п.24 Положения, применяются детализирующие показатели.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П.30 Положения в случае применения показателя оценки, указанного в пп.«д» п.24 Положения порядком оценки устанавливаются: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специалистов и иных работников, их квалификация, оцениваемые по показателю, предусмотренному подпунктом "д" пункта 24 настоящего Положения, и необходимые для поставки товара, выполнения работ, оказания услуг, являющихся объектом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следующих информации (в том числе данных) и документов, подтверждающих квалификацию участника закупки, наличие специалистов и иных работников, их квалификацию, предусмотренные перечнем, установленным в соответствии с подпунктом «а» настоящего пункта: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1" w:val="left"/>
          <w:tab w:pos="1430" w:val="left"/>
          <w:tab w:pos="697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трудовая книжка или сведения о</w:t>
        <w:tab/>
        <w:t>трудовой деятельности,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предусмотренные статьей 66.1 Трудового кодекса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1" w:val="left"/>
          <w:tab w:pos="143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(в том числе данные), результаты применения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информационных технологий и документы, подтверждающие квалификацию участника закупки, его специалистов и иных работников, в том числе предусмотренную в соответствии с профессиональными стандартами (если соответствующий профессиональный стандарт обязателен для применения работодателями в соответствии с законодательством Российской Федерации).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9" w:right="541" w:bottom="722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Комиссией Управления определено, что Заказчиком установлен в том числе следующий порядок оценки заявок по детализирующему показателю «Наличие у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2024-45697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участников закупки специалистов и иных работников определенного уровня квалификации»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Значимость показателя оценки (ЗПОспец): 0,50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700" w:right="0" w:firstLine="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(значения в баллах) по показателю для каждой заявки (НЦБ спец I): НЦБ спец I = (К спец 1 I + К спец 2 I + К спец 3 I) х ЗПОспец, где: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спец 1 I - оценка заявки (части заявки) по детализирующему показателю «Специалисты участника конкурса прошли курсы обучения и сдали экзамен по тематике «1ВМ СегН^едЗрешаНв! еЗеггег 15 /Зег/ев 'Зес/ипса/Зо1иИопв Оев/дпег»»;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спец 2 I - оценка заявки (части заявки) по детализирующему показателю «Специалисты участника конкурса прошли курсы обучения и сдали экзамен по тематике «1ВМ СегН^едЗо1иНоп ^еVе^оре^ ЗеЬЗрИеге \Ю»»;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спец 3 I - оценка заявки (части заявки) по детализирующему показателю «Специалисты участника конкурса, прошли курсы обучения и сдали экзамен по тематике «1ВМСегйредЗув1ет .\Зт1Ш81гаЮг ЗеЬЗрИегеМ^.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выполнения работ, оказания услуг, являющихся объектом закупки необходимы специалисты и иные работники участника конкурса, которые прошли курсы обучения и/или сдали экзамен по тематике: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«1ВМ Сегйред ЗрешаНв! еЗетуег 15 /Зег/ев 'Зес/ипса/ЗоЗпнлпв Зк'в/дпег».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Предельное минимальное значение детализирующего показателя, установленное заказчиком (): 0 специалистов и иных работников.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информации (в том числе данных) и документов, подтверждающих наличие специалистов и иных работников, их квалификацию: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92" w:val="left"/>
          <w:tab w:pos="1454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трудовая книжка или сведения о трудовой деятельности,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предусмотренные статьей 66.1 Трудового кодекса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92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(в том числе данные), результаты применения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информационных технологий и документы, подтверждающие квалификацию участника закупки, его специалистов и иных работников, в том числе предусмотренную в соответствии с профессиональными стандартами (если соответствующий профессиональный стандарт обязателен для применения работодателями в соответствии с законодательством Российской Федерации), а именно сертификат, выданный производителем программного обеспечения или российскими учебными центрами или уполномоченным представителем на проведение обучения, сдачу экзамена и выдачу сертификатов от соответствующего производителя программного обеспечения по теме «1ВМ Сегйред ЗресгаИв! еЗеггег 15 /Зег/ев Тес/ипса/8о1иНоп$ Оев/дпег».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26" w:bottom="1162" w:left="107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в составе заявки на участие в конкурсе документального подтверждения наличия специалистов и иных работников, их квалификации - 0 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Представленные сертификаты в отсутствие трудовой книжки или сведений о трудовой деятельности, предусмотренные статьей 66.1 Трудового кодекса Российской Федерации не будут считаться подтверждением квалификации участника конкурса.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Представленные трудовые книжки или сведения о трудовой деятельности, предусмотренные статьей 66.1 Трудового кодекса Российской Федерации, в отсутствие сертификатов не будут считаться подтверждением квалификации участника конкурса.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Значение количества баллов по детализирующему показателю, присваиваемых заявке, подлежащей в соответствии с Федеральным законом оценке, рассчитывается по формуле, указанной в разделе II настоящего документа (БХ спец 1 I).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Заявкам, в предложении которых содержится значение детализирующего показателя, которое выше предельного значения, баллы по детализирующему показателю присваиваются в размере, предусмотренном для соответствующего предельного значения детализирующего показателя.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Значимость детализирующего показателя (ЗДПспец1): 0,50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заявки (части заявки) по детализирующему показателю (Кспец 1 I):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спец 1 I = БХ спец 1 I х ЗДПспец1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составе жалобы Заявитель указывает, что в положениях порядка оценки Заказчиком неправомерно предусмотрена возможность участников закупки представить к оценке сведения о специалистах, прошедших обучение у производителя программного обеспечения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«1ВМ»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так как проверка сведений об обучении таких специалистов недоступна на территории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 формировании спорных положений порядка оценки Заказчик руководствовался нормами Положения, при этом оспариваемое условие порядка оценки установлено в связи представлением участникам закупки возможности представить информацию о специалистах, прошедших соответствующее обучение непосредственно у производителя программного обеспечения, за пределами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9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представлено документов и сведений, подтверждающих доводы жалобы, либо свидетельствующих об ограничении количества участников закупки при установлении оспариваемого условия порядка оценки, ввиду чего у Комиссии Управления отсутствуют правовые основания для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2024-45697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признания Заказчика нарушившим положения о Законе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описание объекта закупки сформировано Заказчиком в нарушение Закона о контрактной системе, в частности: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Заказчиком неправомерно не указаны характеристики программно-аппаратной платформы, на которую осуществляется миграция необходимых данных Заказчика;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Заказчиком не указаны положения, разъясняющие порядок сертификации разрабатываемого программного обеспечения, в том числе получение сертификата ФСТЭК России;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неоднозначным образом указаны вариации аутентификации программного обеспечения СУБД, в частности порядка аутентификации в домене «Шпс1о\\'&lt;,» при помощи сертификата, который, по мнению Заявителя, должен осуществлять с помощью электронной цифровой подписью, что не позволяет участника закупки определить необходимый объем работ по защите информации.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описание объекта закупки не противоречит требованиям Закона о контрактной системе и сформировано Заказчиком на основе потребности учреждения в определенных услугах (работах), при этом представитель Заказчика отметил, что описание программно-аппаратной платформы, на которую осуществляется миграция необходимых данных Заказчика представлено в п.7 «Сведения о технических средствах и общесистемном программном обеспечении» описания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отметил, что требования к защите информации содержится в п.6.10 6.10 «Требования к обеспечению безопасности при обработке информации» описания объекта закупки, работы осуществляются на базе имеющегося у Заказчика программного обеспечения, при этом сертификация новой версии такого программного обеспечения будет осуществляться Заказчиком самостоятельно и не входит в объект закупки данной конкурентной процедуры, в связи с чем такие работы не указаны в описании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77" w:left="1093" w:header="0" w:footer="24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2024-45697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содержатся в том числе следующие положения: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4" w:val="left"/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«п.6.11 Требования к защите от несанкционированного доступа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выполнения работ общий уровень защищенности от несанкционированного доступа ПТК СПУ не должен быть снижен, общие принципы защиты информации не должны быть нарушены.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Программное обеспечение СУБД и программное обеспечение репликации данных должно обеспечивать: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</w:tabs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идентификацию пользователя с использованием уникального кода (имени пользователя). Аутентификация пользователя должна осуществляться буквенно-цифровым паролем, включающим в себя буквенные символы верхнего и нижнего регистра, не менее 1 цифры и не менее 1 спецсимвола, длиной не менее 8</w:t>
        <w:softHyphen/>
        <w:t>ми символов или (в домене ^шс1о\\'&lt;,) сертификатом. Авторизация пользователя должна производиться только при положительном результате аутентификации;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</w:tabs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блокирование учетной записи пользователя после определенного (задаваемого администратором) количества неудачных попыток аутентификации и регистрации факта и причины блокировки в журнале аудита;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</w:tabs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разграничение доступа пользователей к обрабатываемой программным обеспечением информации путем назначения им функциональных ролей;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</w:tabs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регистрацию в специальном журнале аудита, возможность редактирования которого пользователями базы данных (приложения) должна быть исключена, действий пользователя с момента старта основного исполняемого файла до момента завершения его работы (останова);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</w:tabs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регистрацию в электронном журнале (журнале аудита) обращений запросов пользователей программного продукта на получение персональных данных, а также фактов предоставления персональных данных по этим запросам;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</w:tabs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доступность изменения перечня регистрируемых событий и параметров только администратору базы данных/(программного обеспечения.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Параметрами событий, подлежащими обязательной регистрации, являются: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  <w:tab w:pos="3566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события;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13" w:val="left"/>
          <w:tab w:pos="3566" w:val="left"/>
        </w:tabs>
        <w:bidi w:val="0"/>
        <w:spacing w:before="0" w:after="0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идентификатор пользователя программного продукта»;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  <w:tab/>
        <w:t>«п.7 Сведения о технических средствах и общесистемном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программном обеспечении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Системное программное обеспечение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ОС: Кед На! Еп1егрп§е I апих у7.9, СепЮ8 у7, ядро 3.10.0-1160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2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СУБД: Ро^д^Ь 14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Серверы приложений: Араске ТотЕЕ-р1ите 8.0.0-М3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Шина данных: Араске Сате1 3.4.10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Виртуальная машина .кка: ^аVа-1.8.0-ореп^^к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Выполняемые работы не должны предъявлять дополнительных требований к техническому обеспечению ПТК СПУ».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п.7 описания объекта закупки Заказчиком отражены сведения о технических средствах и программном обеспечении.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Комиссий Управления отмечает, что отсутствие уточнения в описании объекта закупки порядка аутентификации в домене «Шпс1о\\'&lt;,» при помощи сертификата свидетельствует о возможности исполнителя контракта осуществить реализацию порядка аутентификации с использованием любой системы сертификации, не противоречащей требованиям описания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на заседание Комиссии Управления представитель Заявителя не явился, а в составе жалобы Заявителем не представлено документов и сведений, свидетельствующих об ограничении количества участников закупки при формировании описания объекта закупки,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Также в составе жалобы Заявитель указывает, что разъяснения положений извещения размещены Заказчиком в нарушение Закона о контактной системе, так как не отвечают по существу поставленных в запросе разъяснений вопросов.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 Заявитель указывает на следующие вопросы, указанные в запросе разъяснений: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«Просим ответить и представить комментарии по выводам:</w:t>
      </w:r>
    </w:p>
    <w:p>
      <w:pPr>
        <w:pStyle w:val="Style2"/>
        <w:keepNext w:val="0"/>
        <w:keepLines w:val="0"/>
        <w:widowControl w:val="0"/>
        <w:numPr>
          <w:ilvl w:val="1"/>
          <w:numId w:val="17"/>
        </w:numPr>
        <w:shd w:val="clear" w:color="auto" w:fill="auto"/>
        <w:tabs>
          <w:tab w:pos="143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программно-техническая (аппаратная) платформа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основе свободного ПО имеется в наличии у Заказчика и будет предоставлена для выполнения работ?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положительном ответе у всех участников закупки должна иметься возможность ознакомится с подробными описанием и техническими характеристиками платформы до подачи ценового предложения»;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«Просим предоставить разъяснения о сроках и зонах ответственности сторон при обеспечении мероприятий по сертификации ПО СУБД и программного обеспечение репликации с учетом выполнимости в общем сроке работ»;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«Просим предоставить разъяснения о сроках и зонах ответственности сторон при обеспечении мероприятий по сертификации новой версии ПО АРМ ПТК СПУ с учетом выполнимости в общем сроке работ».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ч.5 ст.42 Закона о контактной системе любой участник закупки, зарегистрированный в единой информационной системе, вправе направить с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2024-45697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19.09.2024 в единой информационной системе Заказчиком размещены разъяснения положений извещения об осуществлении закупки №РИ3 в том числе со следующим содержанием: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 2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требованиям п. 5.2 Технического задания на выполнение работ по миграции программного обеспечения и данных ПТК СПУ на базе коммерческого ПО на программно-аппаратную платформу на основе открытого ПО (далее - ТЗ):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Адаптация и миграция серверного программного обеспечения продукта 18РиРРК ПТК СПУ для 1ВМ И3епе$ (опции *ВЛ8Е, 1, 2, 3, 6) на новую программно</w:t>
        <w:softHyphen/>
        <w:t>техническую платформу на основе свободного ПО.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ответить и представить комментарии по выводам:</w:t>
      </w:r>
    </w:p>
    <w:p>
      <w:pPr>
        <w:pStyle w:val="Style2"/>
        <w:keepNext w:val="0"/>
        <w:keepLines w:val="0"/>
        <w:widowControl w:val="0"/>
        <w:numPr>
          <w:ilvl w:val="1"/>
          <w:numId w:val="19"/>
        </w:numPr>
        <w:shd w:val="clear" w:color="auto" w:fill="auto"/>
        <w:tabs>
          <w:tab w:pos="1463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программно-техническая (аппаратная) платформа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основе свободного ПО имеется в наличии у Заказчика и будет предоставлена для выполнения работ?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положительном ответе у всех участников закупки должна иметься возможность ознакомится с подробными описанием и техническими характеристиками платформы до подачи ценового предложения...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...При положительном ответе в ТЗ должны быть определены мероприятия по защите информации согласно требованиям соответствующих приказов ФСТЭК России, в зоне ответственности будущего Исполнителя и Заказчика с учетом выполнимости в общем сроке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Ответ: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КТС приведено в Технических требованиях (Описание объекта закупки).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 3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658" w:left="1092" w:header="0" w:footer="230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Предметом закупки являются как работы по переносу процессов обработки данных в рамках географически распределенной информационной системы ПТК СПУ в новую консолидированную программно-аппаратную платформу на базе открытого ПО (п. 5 «Требования к выполнению работ» ТЗ), так и работы по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2024-45697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сопровождению программного обеспечения репликации данных распределенной системы серверов районного, регионального и центрального уровней ПТК СПУ и адаптированной технологии работы ПТК СПУ (п .6 «Требования к сопровождению» ТЗ).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ответить (и представить комментарии по выводам), предусматривается ли в рамках работ пункта 5 ТЗ обработка сведений, содержащих персональные данные и конфиденциальную информацию?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положительном ответе в ТЗ должна содержаться соответствующая информация/требования о том, что: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новая программно-техническая платформа на основе свободного ПО, реализующая в том числе меры по защите информации, должна иметь необходимые сертификаты ФСТЭК России, а объект где развернута новая программно-техническая платформа аттестован;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начала обработки указанных сведений Заказчик планирует и обеспечивает выполнения мероприятий по сертификации, развёртыванию новой программно-технической платформы и аттестации на соответствие требованиям по защите информации, с учетом выполнимости в общем сроке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Вопросы обеспечения выполнения мероприятий по сертификации и аттестации новой программно-технической платформы на соответствие требованиям по защите информации не являются предметом настоящих работ, включающих, в том числе, обработку сведений, содержащих персональные данные.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 4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выполнения требований пункта 6.11 ТЗ «Требования к защите от несанкционированного доступа»: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Программное обеспечение СУБД и программное обеспечение репликации данных должно обеспечивать: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39" w:val="left"/>
          <w:tab w:pos="2174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идентификацию пользователя с использованием уникального кода (имени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пользователя). Аутентификация пользователя должна осуществляться буквенно-цифровым паролем, включающим в себя буквенные символы верхнего и нижнего регистра, не менее 1 цифры и не менее 1 спецсимвола, длиной не менее 8</w:t>
        <w:softHyphen/>
        <w:t>ми символов или (в домене 1Гшс/о\г\) сертификатом. Авторизация пользователя должна производиться только при положительном результате аутентификации;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регистрацию в электронном журнале (журнале аудита) обращений запросов пользователей программного продукта на получение персональных данных, а также фактов предоставления персональных данных по этим запросам;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39" w:val="left"/>
        </w:tabs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доступность изменения перечня регистрируемых событий и параметров только администратору базы данных/программного обеспечения.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положениями ТЗ предусмотрена разработка и сопровождение ПО, реализующего функции по защите информации, при том, что ТЗ не предусматривает мероприятий по его сертификации.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предоставить разъяснения о сроках и зонах ответственности сторон при обеспечении мероприятий по сертификации ПО СУБД и программного обеспечение репликации с учетом выполнимости в общем сроке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Вопросы обеспечения выполнения мероприятий по сертификации и аттестации новой программно-технической платформы на соответствие требованиям по защите информации не являются предметом настоящих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 5: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ТЗ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5.3 Адаптация клиентского программного обеспечения АРМ ПТК СПУ, созданного с помощью средства разработки 1ВМ У18иа1Лде /ог 8таШа1к, для обеспечения его совместимости с новым серверным ПО ПТК СПУ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Пользователь клиентского ПО должен быть идентифицирован и аутентифицирован с использованием имени пользователя и пароля.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положениями ТЗ предусмотрено внесение изменений в ПО, реализующее функции по защите информации, при том, что ТЗ не предусматривает мероприятий по сертификации новой версии ПО АРМ ПТК СПУ.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предоставить разъяснения о сроках и зонах ответственности сторон при обеспечении мероприятий по сертификации новой версии ПО АРМ ПТК СПУ с учетом выполнимости в общем сроке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Вопросы обеспечения выполнения мероприятий по сертификации и аттестации новой программно-технической платформы на соответствие требованиям по защите информации не являются предметом настоящих работ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размещенные Заказчиком разъяснения положений извещения не противоречат требованиям и порядку дачи разъяснений, предусмотренных ч.5 ст.42 Закона о контрактной системе, при этом на обозначенные в составе жалобы вопросы, указанные в поданном участником закупки запросе разъяснений, Заказчиком даты ответы по существу.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Иного на заседании Комиссии Управления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«Группа компаний «АБАК-2000» на действия МИЦ СФР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58" w:right="515" w:bottom="1427" w:left="107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19075" distL="0" distR="0" simplePos="0" relativeHeight="12582938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700000000000003pt;margin-top:11.pt;width:149.30000000000001pt;height:19.699999999999999pt;z-index:-125829371;mso-wrap-distance-left:0;mso-wrap-distance-top:1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9550" distB="0" distL="0" distR="1789430" simplePos="0" relativeHeight="125829384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209550</wp:posOffset>
            </wp:positionV>
            <wp:extent cx="353695" cy="40259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300990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0000000000001pt;margin-top:23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19075" distL="0" distR="0" simplePos="0" relativeHeight="125829385" behindDoc="0" locked="0" layoutInCell="1" allowOverlap="1">
                <wp:simplePos x="0" y="0"/>
                <wp:positionH relativeFrom="page">
                  <wp:posOffset>6334760</wp:posOffset>
                </wp:positionH>
                <wp:positionV relativeFrom="paragraph">
                  <wp:posOffset>139700</wp:posOffset>
                </wp:positionV>
                <wp:extent cx="880745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8.80000000000001pt;margin-top:11.pt;width:69.350000000000009pt;height:19.699999999999999pt;z-index:-125829368;mso-wrap-distance-left:0;mso-wrap-distance-top:1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0084Е434Е5152Е57С032Э1780ВА4А68226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90000000000003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30000000000001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2Е366ЕОЗОЕЕ902О8968ЕА4В2С7Э60465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0.94999999999999pt;margin-top:36.8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7.35000000000002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94.70000000000005pt;width:57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pt;margin-top:794.70000000000005pt;width:57.100000000000001pt;height:7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435610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pt;margin-top:34.3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7.05000000000001pt;margin-top:37.5pt;width:10.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435610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4.300000000000004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7.05000000000001pt;margin-top:37.5pt;width:10.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435610</wp:posOffset>
              </wp:positionV>
              <wp:extent cx="6731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34.300000000000004pt;width:5.2999999999999998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3899535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7.05000000000001pt;margin-top:37.5pt;width:10.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2"/>
      <w:numFmt w:val="decimal"/>
      <w:lvlText w:val="%1)"/>
    </w:lvl>
    <w:lvl w:ilvl="1">
      <w:start w:val="1"/>
      <w:numFmt w:val="decimal"/>
      <w:lvlText w:val="%1.%2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2"/>
      <w:numFmt w:val="decimal"/>
      <w:lvlText w:val="%1)"/>
    </w:lvl>
    <w:lvl w:ilvl="1">
      <w:start w:val="1"/>
      <w:numFmt w:val="decimal"/>
      <w:lvlText w:val="%1.%2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image" Target="media/image1.jpeg"/><Relationship Id="rId20" Type="http://schemas.openxmlformats.org/officeDocument/2006/relationships/image" Target="media/image1.jpeg" TargetMode="External"/><Relationship Id="rId21" Type="http://schemas.openxmlformats.org/officeDocument/2006/relationships/image" Target="media/image2.jpeg"/><Relationship Id="rId22" Type="http://schemas.openxmlformats.org/officeDocument/2006/relationships/image" Target="media/image2.jpeg" TargetMode="Externa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/Relationships>
</file>