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4067175</wp:posOffset>
                </wp:positionH>
                <wp:positionV relativeFrom="paragraph">
                  <wp:posOffset>12700</wp:posOffset>
                </wp:positionV>
                <wp:extent cx="640080" cy="250190"/>
                <wp:wrapSquare wrapText="bothSides"/>
                <wp:docPr id="1" name="Shape 1"/>
                <a:graphic xmlns:a="http://schemas.openxmlformats.org/drawingml/2006/main">
                  <a:graphicData uri="http://schemas.microsoft.com/office/word/2010/wordprocessingShape">
                    <wps:wsp>
                      <wps:cNvSpPr txBox="1"/>
                      <wps:spPr>
                        <a:xfrm>
                          <a:ext cx="640080" cy="2501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ЦКБ ГА</w:t>
                            </w:r>
                          </w:p>
                        </w:txbxContent>
                      </wps:txbx>
                      <wps:bodyPr wrap="non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20.25pt;margin-top:1.pt;width:50.399999999999999pt;height:19.699999999999999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ЦКБ ГА</w:t>
                      </w:r>
                    </w:p>
                  </w:txbxContent>
                </v:textbox>
                <w10:wrap type="square" anchorx="page"/>
              </v:shape>
            </w:pict>
          </mc:Fallback>
        </mc:AlternateContent>
      </w:r>
    </w:p>
    <w:p>
      <w:pPr>
        <w:pStyle w:val="Style4"/>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4"/>
        <w:keepNext w:val="0"/>
        <w:keepLines w:val="0"/>
        <w:widowControl w:val="0"/>
        <w:shd w:val="clear" w:color="auto" w:fill="auto"/>
        <w:bidi w:val="0"/>
        <w:spacing w:before="0" w:after="0" w:line="240" w:lineRule="auto"/>
        <w:ind w:left="0" w:right="0" w:firstLine="0"/>
        <w:jc w:val="center"/>
        <w:sectPr>
          <w:footerReference w:type="default" r:id="rId5"/>
          <w:footnotePr>
            <w:pos w:val="pageBottom"/>
            <w:numFmt w:val="decimal"/>
            <w:numRestart w:val="continuous"/>
          </w:footnotePr>
          <w:pgSz w:w="11900" w:h="16840"/>
          <w:pgMar w:top="1162" w:right="7079" w:bottom="621" w:left="1601" w:header="734" w:footer="3" w:gutter="0"/>
          <w:pgNumType w:start="1"/>
          <w:cols w:space="720"/>
          <w:noEndnote/>
          <w:rtlGutter w:val="0"/>
          <w:docGrid w:linePitch="360"/>
        </w:sectPr>
      </w:pPr>
      <w:r>
        <w:rPr>
          <w:b/>
          <w:bCs/>
          <w:spacing w:val="0"/>
          <w:w w:val="100"/>
          <w:position w:val="0"/>
          <w:shd w:val="clear" w:color="auto" w:fill="auto"/>
          <w:lang w:val="ru-RU" w:eastAsia="ru-RU" w:bidi="ru-RU"/>
        </w:rPr>
        <w:t>АНТИМОНОПОЛЬНАЯ СЛУЖБА</w:t>
      </w:r>
    </w:p>
    <w:p>
      <w:pPr>
        <w:widowControl w:val="0"/>
        <w:spacing w:line="1" w:lineRule="exact"/>
      </w:pPr>
      <w:r>
        <mc:AlternateContent>
          <mc:Choice Requires="wps">
            <w:drawing>
              <wp:anchor distT="0" distB="0" distL="114300" distR="114300" simplePos="0" relativeHeight="125829380" behindDoc="0" locked="0" layoutInCell="1" allowOverlap="1">
                <wp:simplePos x="0" y="0"/>
                <wp:positionH relativeFrom="page">
                  <wp:posOffset>1595755</wp:posOffset>
                </wp:positionH>
                <wp:positionV relativeFrom="paragraph">
                  <wp:posOffset>76200</wp:posOffset>
                </wp:positionV>
                <wp:extent cx="895985" cy="152400"/>
                <wp:wrapSquare wrapText="bothSides"/>
                <wp:docPr id="5" name="Shape 5"/>
                <a:graphic xmlns:a="http://schemas.openxmlformats.org/drawingml/2006/main">
                  <a:graphicData uri="http://schemas.microsoft.com/office/word/2010/wordprocessingShape">
                    <wps:wsp>
                      <wps:cNvSpPr txBox="1"/>
                      <wps:spPr>
                        <a:xfrm>
                          <a:ext cx="895985" cy="1524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УПРАВЛЕНИЕ</w:t>
                            </w:r>
                          </w:p>
                        </w:txbxContent>
                      </wps:txbx>
                      <wps:bodyPr wrap="none" lIns="0" tIns="0" rIns="0" bIns="0">
                        <a:noAutoFit/>
                      </wps:bodyPr>
                    </wps:wsp>
                  </a:graphicData>
                </a:graphic>
              </wp:anchor>
            </w:drawing>
          </mc:Choice>
          <mc:Fallback>
            <w:pict>
              <v:shape id="_x0000_s1031" type="#_x0000_t202" style="position:absolute;margin-left:125.65000000000001pt;margin-top:6.pt;width:70.549999999999997pt;height:12.pt;z-index:-125829373;mso-wrap-distance-left:9.pt;mso-wrap-distance-right:9.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УПРАВЛЕНИЕ</w:t>
                      </w:r>
                    </w:p>
                  </w:txbxContent>
                </v:textbox>
                <w10:wrap type="square" anchorx="page"/>
              </v:shape>
            </w:pict>
          </mc:Fallback>
        </mc:AlternateContent>
      </w:r>
    </w:p>
    <w:p>
      <w:pPr>
        <w:pStyle w:val="Style2"/>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1162" w:right="2749" w:bottom="621" w:left="6410" w:header="0" w:footer="3" w:gutter="0"/>
          <w:cols w:space="720"/>
          <w:noEndnote/>
          <w:rtlGutter w:val="0"/>
          <w:docGrid w:linePitch="360"/>
        </w:sectPr>
      </w:pPr>
      <w:r>
        <w:rPr>
          <w:color w:val="000000"/>
          <w:spacing w:val="0"/>
          <w:w w:val="100"/>
          <w:position w:val="0"/>
          <w:shd w:val="clear" w:color="auto" w:fill="auto"/>
          <w:lang w:val="ru-RU" w:eastAsia="ru-RU" w:bidi="ru-RU"/>
        </w:rPr>
        <w:t>/акир1&lt;1@с1&lt;Ьда.П1</w:t>
      </w:r>
    </w:p>
    <w:p>
      <w:pPr>
        <w:widowControl w:val="0"/>
        <w:spacing w:line="139" w:lineRule="exact"/>
        <w:rPr>
          <w:sz w:val="11"/>
          <w:szCs w:val="11"/>
        </w:rPr>
      </w:pPr>
    </w:p>
    <w:p>
      <w:pPr>
        <w:widowControl w:val="0"/>
        <w:spacing w:line="1" w:lineRule="exact"/>
        <w:sectPr>
          <w:footnotePr>
            <w:pos w:val="pageBottom"/>
            <w:numFmt w:val="decimal"/>
            <w:numRestart w:val="continuous"/>
          </w:footnotePr>
          <w:type w:val="continuous"/>
          <w:pgSz w:w="11900" w:h="16840"/>
          <w:pgMar w:top="1162" w:right="0" w:bottom="649" w:left="0" w:header="0" w:footer="3" w:gutter="0"/>
          <w:cols w:space="720"/>
          <w:noEndnote/>
          <w:rtlGutter w:val="0"/>
          <w:docGrid w:linePitch="360"/>
        </w:sectPr>
      </w:pPr>
    </w:p>
    <w:p>
      <w:pPr>
        <w:pStyle w:val="Style4"/>
        <w:keepNext w:val="0"/>
        <w:keepLines w:val="0"/>
        <w:framePr w:w="1138" w:h="240" w:wrap="none" w:vAnchor="text" w:hAnchor="page" w:x="2653" w:y="21"/>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по г. Москве</w:t>
      </w:r>
    </w:p>
    <w:p>
      <w:pPr>
        <w:pStyle w:val="Style2"/>
        <w:keepNext w:val="0"/>
        <w:keepLines w:val="0"/>
        <w:framePr w:w="2736" w:h="360" w:wrap="none" w:vAnchor="text" w:hAnchor="page" w:x="6416" w:y="68"/>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ООО «СПИРОНИКА»</w:t>
      </w:r>
    </w:p>
    <w:p>
      <w:pPr>
        <w:widowControl w:val="0"/>
        <w:spacing w:after="426" w:line="1" w:lineRule="exact"/>
      </w:pPr>
    </w:p>
    <w:p>
      <w:pPr>
        <w:widowControl w:val="0"/>
        <w:spacing w:line="1" w:lineRule="exact"/>
        <w:sectPr>
          <w:footnotePr>
            <w:pos w:val="pageBottom"/>
            <w:numFmt w:val="decimal"/>
            <w:numRestart w:val="continuous"/>
          </w:footnotePr>
          <w:type w:val="continuous"/>
          <w:pgSz w:w="11900" w:h="16840"/>
          <w:pgMar w:top="1162" w:right="536" w:bottom="649" w:left="1106"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29382" behindDoc="0" locked="0" layoutInCell="1" allowOverlap="1">
                <wp:simplePos x="0" y="0"/>
                <wp:positionH relativeFrom="page">
                  <wp:posOffset>4070350</wp:posOffset>
                </wp:positionH>
                <wp:positionV relativeFrom="paragraph">
                  <wp:posOffset>130810</wp:posOffset>
                </wp:positionV>
                <wp:extent cx="1322705" cy="250190"/>
                <wp:wrapSquare wrapText="bothSides"/>
                <wp:docPr id="7" name="Shape 7"/>
                <a:graphic xmlns:a="http://schemas.openxmlformats.org/drawingml/2006/main">
                  <a:graphicData uri="http://schemas.microsoft.com/office/word/2010/wordprocessingShape">
                    <wps:wsp>
                      <wps:cNvSpPr txBox="1"/>
                      <wps:spPr>
                        <a:xfrm>
                          <a:ext cx="1322705" cy="2501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тГо@8р1гошса.ги</w:t>
                            </w:r>
                          </w:p>
                        </w:txbxContent>
                      </wps:txbx>
                      <wps:bodyPr wrap="none" lIns="0" tIns="0" rIns="0" bIns="0">
                        <a:noAutoFit/>
                      </wps:bodyPr>
                    </wps:wsp>
                  </a:graphicData>
                </a:graphic>
              </wp:anchor>
            </w:drawing>
          </mc:Choice>
          <mc:Fallback>
            <w:pict>
              <v:shape id="_x0000_s1033" type="#_x0000_t202" style="position:absolute;margin-left:320.5pt;margin-top:10.300000000000001pt;width:104.15000000000001pt;height:19.699999999999999pt;z-index:-12582937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тГо@8р1гошса.ги</w:t>
                      </w:r>
                    </w:p>
                  </w:txbxContent>
                </v:textbox>
                <w10:wrap type="square" anchorx="page"/>
              </v:shape>
            </w:pict>
          </mc:Fallback>
        </mc:AlternateContent>
      </w:r>
    </w:p>
    <w:p>
      <w:pPr>
        <w:pStyle w:val="Style4"/>
        <w:keepNext w:val="0"/>
        <w:keepLines w:val="0"/>
        <w:widowControl w:val="0"/>
        <w:shd w:val="clear" w:color="auto" w:fill="auto"/>
        <w:bidi w:val="0"/>
        <w:spacing w:before="0" w:after="0" w:line="240" w:lineRule="auto"/>
        <w:ind w:left="0" w:right="0" w:firstLine="0"/>
        <w:jc w:val="center"/>
        <w:sectPr>
          <w:footnotePr>
            <w:pos w:val="pageBottom"/>
            <w:numFmt w:val="decimal"/>
            <w:numRestart w:val="continuous"/>
          </w:footnotePr>
          <w:type w:val="continuous"/>
          <w:pgSz w:w="11900" w:h="16840"/>
          <w:pgMar w:top="1162" w:right="5490" w:bottom="621" w:left="1106" w:header="0" w:footer="3" w:gutter="0"/>
          <w:cols w:space="720"/>
          <w:noEndnote/>
          <w:rtlGutter w:val="0"/>
          <w:docGrid w:linePitch="360"/>
        </w:sectP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е-тай: 1о77@Та8.еоу.п1</w:t>
      </w:r>
    </w:p>
    <w:p>
      <w:pPr>
        <w:pStyle w:val="Style11"/>
        <w:keepNext/>
        <w:keepLines/>
        <w:framePr w:w="1430" w:h="365" w:wrap="none" w:vAnchor="text" w:hAnchor="page" w:x="1270" w:y="21"/>
        <w:widowControl w:val="0"/>
        <w:pBdr>
          <w:bottom w:val="single" w:sz="4" w:space="0" w:color="auto"/>
        </w:pBdr>
        <w:shd w:val="clear" w:color="auto" w:fill="auto"/>
        <w:bidi w:val="0"/>
        <w:spacing w:before="0" w:after="0" w:line="240" w:lineRule="auto"/>
        <w:ind w:left="0" w:right="0" w:firstLine="0"/>
        <w:jc w:val="left"/>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01.10.2024</w:t>
      </w:r>
      <w:bookmarkEnd w:id="0"/>
      <w:r>
        <w:fldChar w:fldCharType="end"/>
      </w:r>
    </w:p>
    <w:p>
      <w:pPr>
        <w:pStyle w:val="Style11"/>
        <w:keepNext/>
        <w:keepLines/>
        <w:framePr w:w="1896" w:h="365" w:wrap="none" w:vAnchor="text" w:hAnchor="page" w:x="3114" w:y="21"/>
        <w:widowControl w:val="0"/>
        <w:shd w:val="clear" w:color="auto" w:fill="auto"/>
        <w:bidi w:val="0"/>
        <w:spacing w:before="0" w:after="0" w:line="240" w:lineRule="auto"/>
        <w:ind w:left="0" w:right="0" w:firstLine="0"/>
        <w:jc w:val="left"/>
      </w:pPr>
      <w:bookmarkStart w:id="2" w:name="bookmark2"/>
      <w:r>
        <w:rPr>
          <w:color w:val="000000"/>
          <w:spacing w:val="0"/>
          <w:w w:val="100"/>
          <w:position w:val="0"/>
          <w:shd w:val="clear" w:color="auto" w:fill="auto"/>
          <w:lang w:val="ru-RU" w:eastAsia="ru-RU" w:bidi="ru-RU"/>
        </w:rPr>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40360/24</w:t>
      </w:r>
      <w:bookmarkEnd w:id="2"/>
    </w:p>
    <w:p>
      <w:pPr>
        <w:widowControl w:val="0"/>
        <w:spacing w:after="364" w:line="1" w:lineRule="exact"/>
      </w:pPr>
    </w:p>
    <w:p>
      <w:pPr>
        <w:widowControl w:val="0"/>
        <w:spacing w:line="1" w:lineRule="exact"/>
        <w:sectPr>
          <w:footnotePr>
            <w:pos w:val="pageBottom"/>
            <w:numFmt w:val="decimal"/>
            <w:numRestart w:val="continuous"/>
          </w:footnotePr>
          <w:type w:val="continuous"/>
          <w:pgSz w:w="11900" w:h="16840"/>
          <w:pgMar w:top="1162" w:right="536" w:bottom="649" w:left="1106" w:header="0" w:footer="3" w:gutter="0"/>
          <w:cols w:space="720"/>
          <w:noEndnote/>
          <w:rtlGutter w:val="0"/>
          <w:docGrid w:linePitch="360"/>
        </w:sectPr>
      </w:pPr>
    </w:p>
    <w:p>
      <w:pPr>
        <w:pStyle w:val="Style4"/>
        <w:keepNext w:val="0"/>
        <w:keepLines w:val="0"/>
        <w:widowControl w:val="0"/>
        <w:shd w:val="clear" w:color="auto" w:fill="auto"/>
        <w:bidi w:val="0"/>
        <w:spacing w:before="0" w:after="900" w:line="240" w:lineRule="auto"/>
        <w:ind w:left="0" w:right="0" w:firstLine="0"/>
        <w:jc w:val="left"/>
      </w:pPr>
      <w:r>
        <w:rPr>
          <w:spacing w:val="0"/>
          <w:w w:val="100"/>
          <w:position w:val="0"/>
          <w:shd w:val="clear" w:color="auto" w:fill="auto"/>
          <w:lang w:val="ru-RU" w:eastAsia="ru-RU" w:bidi="ru-RU"/>
        </w:rPr>
        <w:t>На№</w:t>
      </w:r>
    </w:p>
    <w:p>
      <w:pPr>
        <w:pStyle w:val="Style2"/>
        <w:keepNext w:val="0"/>
        <w:keepLines w:val="0"/>
        <w:widowControl w:val="0"/>
        <w:shd w:val="clear" w:color="auto" w:fill="auto"/>
        <w:bidi w:val="0"/>
        <w:spacing w:before="0" w:after="0" w:line="211" w:lineRule="auto"/>
        <w:ind w:left="0" w:right="0" w:firstLine="0"/>
        <w:jc w:val="center"/>
      </w:pPr>
      <w:r>
        <w:rPr>
          <w:b/>
          <w:bCs/>
          <w:color w:val="000000"/>
          <w:spacing w:val="0"/>
          <w:w w:val="100"/>
          <w:position w:val="0"/>
          <w:shd w:val="clear" w:color="auto" w:fill="auto"/>
          <w:lang w:val="ru-RU" w:eastAsia="ru-RU" w:bidi="ru-RU"/>
        </w:rPr>
        <w:t>РЕШЕНИЕ</w:t>
      </w:r>
    </w:p>
    <w:p>
      <w:pPr>
        <w:pStyle w:val="Style2"/>
        <w:keepNext w:val="0"/>
        <w:keepLines w:val="0"/>
        <w:widowControl w:val="0"/>
        <w:shd w:val="clear" w:color="auto" w:fill="auto"/>
        <w:bidi w:val="0"/>
        <w:spacing w:before="0" w:after="260" w:line="211" w:lineRule="auto"/>
        <w:ind w:left="0" w:right="0" w:firstLine="0"/>
        <w:jc w:val="center"/>
      </w:pPr>
      <w:r>
        <mc:AlternateContent>
          <mc:Choice Requires="wps">
            <w:drawing>
              <wp:anchor distT="0" distB="0" distL="114300" distR="114300" simplePos="0" relativeHeight="125829384" behindDoc="0" locked="0" layoutInCell="1" allowOverlap="1">
                <wp:simplePos x="0" y="0"/>
                <wp:positionH relativeFrom="page">
                  <wp:posOffset>714375</wp:posOffset>
                </wp:positionH>
                <wp:positionV relativeFrom="paragraph">
                  <wp:posOffset>330200</wp:posOffset>
                </wp:positionV>
                <wp:extent cx="826135" cy="247015"/>
                <wp:wrapSquare wrapText="right"/>
                <wp:docPr id="9" name="Shape 9"/>
                <a:graphic xmlns:a="http://schemas.openxmlformats.org/drawingml/2006/main">
                  <a:graphicData uri="http://schemas.microsoft.com/office/word/2010/wordprocessingShape">
                    <wps:wsp>
                      <wps:cNvSpPr txBox="1"/>
                      <wps:spPr>
                        <a:xfrm>
                          <a:ext cx="826135" cy="2470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27.09.2024</w:t>
                            </w:r>
                          </w:p>
                        </w:txbxContent>
                      </wps:txbx>
                      <wps:bodyPr wrap="none" lIns="0" tIns="0" rIns="0" bIns="0">
                        <a:noAutoFit/>
                      </wps:bodyPr>
                    </wps:wsp>
                  </a:graphicData>
                </a:graphic>
              </wp:anchor>
            </w:drawing>
          </mc:Choice>
          <mc:Fallback>
            <w:pict>
              <v:shape id="_x0000_s1035" type="#_x0000_t202" style="position:absolute;margin-left:56.25pt;margin-top:26.pt;width:65.049999999999997pt;height:19.449999999999999pt;z-index:-125829369;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27.09.2024</w:t>
                      </w:r>
                    </w:p>
                  </w:txbxContent>
                </v:textbox>
                <w10:wrap type="square" side="right" anchorx="page"/>
              </v:shape>
            </w:pict>
          </mc:Fallback>
        </mc:AlternateContent>
      </w:r>
      <w:r>
        <mc:AlternateContent>
          <mc:Choice Requires="wps">
            <w:drawing>
              <wp:anchor distT="0" distB="0" distL="114300" distR="114300" simplePos="0" relativeHeight="125829386" behindDoc="0" locked="0" layoutInCell="1" allowOverlap="1">
                <wp:simplePos x="0" y="0"/>
                <wp:positionH relativeFrom="page">
                  <wp:posOffset>6539230</wp:posOffset>
                </wp:positionH>
                <wp:positionV relativeFrom="paragraph">
                  <wp:posOffset>330200</wp:posOffset>
                </wp:positionV>
                <wp:extent cx="646430" cy="247015"/>
                <wp:wrapSquare wrapText="left"/>
                <wp:docPr id="11" name="Shape 11"/>
                <a:graphic xmlns:a="http://schemas.openxmlformats.org/drawingml/2006/main">
                  <a:graphicData uri="http://schemas.microsoft.com/office/word/2010/wordprocessingShape">
                    <wps:wsp>
                      <wps:cNvSpPr txBox="1"/>
                      <wps:spPr>
                        <a:xfrm>
                          <a:ext cx="646430" cy="2470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Москва</w:t>
                            </w:r>
                          </w:p>
                        </w:txbxContent>
                      </wps:txbx>
                      <wps:bodyPr wrap="none" lIns="0" tIns="0" rIns="0" bIns="0">
                        <a:noAutoFit/>
                      </wps:bodyPr>
                    </wps:wsp>
                  </a:graphicData>
                </a:graphic>
              </wp:anchor>
            </w:drawing>
          </mc:Choice>
          <mc:Fallback>
            <w:pict>
              <v:shape id="_x0000_s1037" type="#_x0000_t202" style="position:absolute;margin-left:514.89999999999998pt;margin-top:26.pt;width:50.899999999999999pt;height:19.449999999999999pt;z-index:-125829367;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Москва</w:t>
                      </w:r>
                    </w:p>
                  </w:txbxContent>
                </v:textbox>
                <w10:wrap type="square" side="left" anchorx="page"/>
              </v:shape>
            </w:pict>
          </mc:Fallback>
        </mc:AlternateContent>
      </w:r>
      <w:r>
        <w:rPr>
          <w:b/>
          <w:bCs/>
          <w:color w:val="000000"/>
          <w:spacing w:val="0"/>
          <w:w w:val="100"/>
          <w:position w:val="0"/>
          <w:shd w:val="clear" w:color="auto" w:fill="auto"/>
          <w:lang w:val="ru-RU" w:eastAsia="ru-RU" w:bidi="ru-RU"/>
        </w:rPr>
        <w:t>по делу № 077/06/106-12945/2024 о нарушении</w:t>
        <w:br/>
        <w:t>законодательства о контрактной системе</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(далее - Комиссия Управления) в составе: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С.И. Казарина,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Члены Комиссии: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Э.З. Гугава,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О.А. Челновой,</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 конференц связи),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представителей:</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ЦКБ ГА: А.А. Бычихина (по дов.№б/н до 31.12.2024),</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ООО «СПИРОНИКА»: А.В. Гутковсского (генеральный директор),</w:t>
      </w:r>
    </w:p>
    <w:p>
      <w:pPr>
        <w:pStyle w:val="Style2"/>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рассмотрев жалобу ООО «СПИРОНИКА» (далее — Заявитель) на действия ЦКБ ГА (далее — Заказчик) при проведении электронного аукциона на право заключения государственного контракта на поставку абсорбента (Закупка № 0373100088124000265)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2"/>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2"/>
        <w:keepNext w:val="0"/>
        <w:keepLines w:val="0"/>
        <w:widowControl w:val="0"/>
        <w:shd w:val="clear" w:color="auto" w:fill="auto"/>
        <w:bidi w:val="0"/>
        <w:spacing w:before="0" w:after="400" w:line="240" w:lineRule="auto"/>
        <w:ind w:left="0" w:right="0" w:firstLine="72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электронного аукциона.</w:t>
      </w:r>
    </w:p>
    <w:p>
      <w:pPr>
        <w:pStyle w:val="Style15"/>
        <w:keepNext/>
        <w:keepLines/>
        <w:widowControl w:val="0"/>
        <w:shd w:val="clear" w:color="auto" w:fill="auto"/>
        <w:bidi w:val="0"/>
        <w:spacing w:before="0" w:line="240" w:lineRule="auto"/>
        <w:ind w:left="0" w:right="0"/>
        <w:jc w:val="left"/>
        <w:sectPr>
          <w:footnotePr>
            <w:pos w:val="pageBottom"/>
            <w:numFmt w:val="decimal"/>
            <w:numRestart w:val="continuous"/>
          </w:footnotePr>
          <w:type w:val="continuous"/>
          <w:pgSz w:w="11900" w:h="16840"/>
          <w:pgMar w:top="1162" w:right="536" w:bottom="621" w:left="1106" w:header="0" w:footer="3" w:gutter="0"/>
          <w:cols w:space="720"/>
          <w:noEndnote/>
          <w:rtlGutter w:val="0"/>
          <w:docGrid w:linePitch="360"/>
        </w:sectPr>
      </w:pPr>
      <w:bookmarkStart w:id="4" w:name="bookmark4"/>
      <w:r>
        <w:rPr>
          <w:color w:val="000000"/>
          <w:spacing w:val="0"/>
          <w:w w:val="100"/>
          <w:position w:val="0"/>
          <w:shd w:val="clear" w:color="auto" w:fill="auto"/>
          <w:lang w:val="ru-RU" w:eastAsia="ru-RU" w:bidi="ru-RU"/>
        </w:rPr>
        <w:t>||||||||||||||||||||||||||||</w:t>
      </w:r>
      <w:bookmarkEnd w:id="4"/>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Заявитель обжалует действия Заказчика, выразившиеся в утверждении извещения об осуществлении закупки в нарушение норм Закона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 Комиссия Управления установила следующее.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составе жалобы Заявитель указывает, что в нарушение положений Закона о контрактной системе Заказчиком установлены избыточные требования к составу заявки на участие в закупке о необходимости представления сведений о регистрационном удостоверении Федеральной службы по надзору в сфере здравоохранения и социального развития на предлагаемое к поставке изделие, в то время как, по мнению Заявителя, необходимый к поставке товар не является медицинским изделием.</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обоснование своей позиции Заявитель указывает, что закупаемый Заказчиком товар (с ранее соответствующим уникальным индивидуальным номером вида медицинского изделия 241180) включен в Перечень изделий, исключенных из номенклатуры медицинских изделий Евразийского экономического союза как немедицинские, сформированный по итогам рассмотрения членами рабочей группы по координации работ по созданию и ведению номенклатуры медицинских изделий Евразийского экономического союза (далее — Перечень исключенных из НКМИ ЕАЭС изделий), что с учётом верховенства правил международного договора, подтверждает тот факт, что закупаемый абсорбент не является медицинским изделием.</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Также в составе жалобы Заявитель указывает, что с учетом письма от 19.09.2024 №10-57444/24 от Росздравнадзора (далее-письмо) подтверждено, что указанные изделия в регистрационных удостоверениях ФСЗ 2010/08630; ФСЗ 2009/04992; ФСЗ 2009/03551; ФСЗ 2009/03553; РЗН 2016/4354 соответствуют коду вида «Абсорбент диоксида углерода», который в соответствии с классификатором ЕАЭС исключен из медицинских изделий и признан немедицинским изделием.</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п.3 ч.2 ст.42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ч.1 ст.49 Закона о контрактной системе заявка на участие в закупке должна содержать информацию и документы, предусмотренные пп.«м» - «п» п.1, пп.«а» - «в» п.2, п.5 ч.1 ст.43 Закона о контрактной системе. Заявка также может содержать информацию и документы, предусмотренные пп.«д» п.2 ч.1 ст.43 Закона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п.2 ч.1 ст.43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2"/>
        <w:keepNext w:val="0"/>
        <w:keepLines w:val="0"/>
        <w:widowControl w:val="0"/>
        <w:numPr>
          <w:ilvl w:val="0"/>
          <w:numId w:val="1"/>
        </w:numPr>
        <w:shd w:val="clear" w:color="auto" w:fill="auto"/>
        <w:tabs>
          <w:tab w:pos="1014" w:val="left"/>
        </w:tabs>
        <w:bidi w:val="0"/>
        <w:spacing w:before="0" w:after="0" w:line="406" w:lineRule="auto"/>
        <w:ind w:left="0" w:right="0" w:firstLine="700"/>
        <w:jc w:val="both"/>
        <w:rPr>
          <w:sz w:val="22"/>
          <w:szCs w:val="22"/>
        </w:rPr>
        <w:sectPr>
          <w:headerReference w:type="default" r:id="rId6"/>
          <w:footerReference w:type="default" r:id="rId7"/>
          <w:footnotePr>
            <w:pos w:val="pageBottom"/>
            <w:numFmt w:val="decimal"/>
            <w:numRestart w:val="continuous"/>
          </w:footnotePr>
          <w:pgSz w:w="11900" w:h="16840"/>
          <w:pgMar w:top="1162" w:right="541" w:bottom="543" w:left="1106" w:header="0" w:footer="115"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с учетом положений ч.2 ст.43 Закона о контрактной системе характеристики </w:t>
      </w:r>
      <w:r>
        <w:rPr>
          <w:rFonts w:ascii="Cambria" w:eastAsia="Cambria" w:hAnsi="Cambria" w:cs="Cambria"/>
          <w:color w:val="000000"/>
          <w:spacing w:val="0"/>
          <w:w w:val="100"/>
          <w:position w:val="0"/>
          <w:sz w:val="22"/>
          <w:szCs w:val="22"/>
          <w:shd w:val="clear" w:color="auto" w:fill="auto"/>
          <w:lang w:val="ru-RU" w:eastAsia="ru-RU" w:bidi="ru-RU"/>
        </w:rPr>
        <w:t>2024-45921</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предлагаемого участником закупки товара, соответствующие показателям, установленным в описании объекта закупки в соответствии с ч.2 ст.33 Закона о контрактной системе, товарный знак (при наличии у товара товарного знака);</w:t>
      </w:r>
    </w:p>
    <w:p>
      <w:pPr>
        <w:pStyle w:val="Style2"/>
        <w:keepNext w:val="0"/>
        <w:keepLines w:val="0"/>
        <w:widowControl w:val="0"/>
        <w:numPr>
          <w:ilvl w:val="0"/>
          <w:numId w:val="1"/>
        </w:numPr>
        <w:shd w:val="clear" w:color="auto" w:fill="auto"/>
        <w:tabs>
          <w:tab w:pos="104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ч.2 ст.43 Закона о контрактной системе;</w:t>
      </w:r>
    </w:p>
    <w:p>
      <w:pPr>
        <w:pStyle w:val="Style2"/>
        <w:keepNext w:val="0"/>
        <w:keepLines w:val="0"/>
        <w:widowControl w:val="0"/>
        <w:numPr>
          <w:ilvl w:val="0"/>
          <w:numId w:val="1"/>
        </w:numPr>
        <w:shd w:val="clear" w:color="auto" w:fill="auto"/>
        <w:tabs>
          <w:tab w:pos="103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Законом о контрактной системе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2"/>
        <w:keepNext w:val="0"/>
        <w:keepLines w:val="0"/>
        <w:widowControl w:val="0"/>
        <w:numPr>
          <w:ilvl w:val="0"/>
          <w:numId w:val="1"/>
        </w:numPr>
        <w:shd w:val="clear" w:color="auto" w:fill="auto"/>
        <w:tabs>
          <w:tab w:pos="101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 учетом положений ч.2 ст.43 Закона о контрактной системе предложение по критериям, предусмотренным п.2 и (или) 3 ч.1 ст.32 Закона о контрактной системе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2"/>
        <w:keepNext w:val="0"/>
        <w:keepLines w:val="0"/>
        <w:widowControl w:val="0"/>
        <w:numPr>
          <w:ilvl w:val="0"/>
          <w:numId w:val="1"/>
        </w:numPr>
        <w:shd w:val="clear" w:color="auto" w:fill="auto"/>
        <w:tabs>
          <w:tab w:pos="103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На заседании Комиссии Управления установлено, что в пп. «в» п.2 требований к составу заявки на участие в закупке: </w:t>
      </w:r>
      <w:r>
        <w:rPr>
          <w:i/>
          <w:iCs/>
          <w:color w:val="000000"/>
          <w:spacing w:val="0"/>
          <w:w w:val="100"/>
          <w:position w:val="0"/>
          <w:shd w:val="clear" w:color="auto" w:fill="auto"/>
          <w:lang w:val="ru-RU" w:eastAsia="ru-RU" w:bidi="ru-RU"/>
        </w:rPr>
        <w:t>«Копия регистрационного удостоверения на медицинское изделие или номер регистрационного удостоверения на основании подпункта «в» пункта 2 части 1 статьи 43 Закона № 44-ФЗ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соответствии с ч. 4 ст. 38 Федерального закона от 21.11.2011 № 323-ФЗ «Об основах охраны здоровья граждан в Российской Федерации» на территории РФ разрешается обращение медицинских изделий, зарегистрированных в установленном порядке. Документом, подтверждающим факт государственной регистрации медицинского изделия, является регистрационное удостоверение на медицинское изделие (п. 6 Правил государственной регистрации медицинских изделий, утвержденных постановлением Правительства РФ от 27.12.2012 № 1416))».</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w:t>
      </w:r>
      <w:r>
        <w:rPr>
          <w:color w:val="000000"/>
          <w:spacing w:val="0"/>
          <w:w w:val="100"/>
          <w:position w:val="0"/>
          <w:shd w:val="clear" w:color="auto" w:fill="auto"/>
          <w:lang w:val="ru-RU" w:eastAsia="ru-RU" w:bidi="ru-RU"/>
        </w:rPr>
        <w:t>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согласно описанию объекта закупки, Заказчиком закупается изделие «Продукты разные химические прочие, не включенные в другие группировки».</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Заявителя пояснил, что согласно письму Росздравнадзора в результате проверки регистрационных досье указанных регистрационных удостоверений выяснено, что код вида 241230 «Картридж с абсорбентом диоксида углерода» некорректно отнесен к изделиям, которые изготавливаются являются абсорбентами углекислого газа и поставляются в канистрах, мешках и ведрах. Отсутствие в НКМИ корректного кода вида для рассматриваемых изделий указывает на того, что Абсорбент диоксида углерода отсутствует в НКМИ, и по состоянию на 20.09.2024 г. абсорбент диоксида углерода (Абсорбент углекислого газа) относится к немедицинским изделиям.</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Кроме того, имеются ответы на запросы регулирующих органов Армении и Республики Беларусь, которые подтвердили оборот (сбыт) изделия, относящегося к коду вида 241180 «Абсорбент диоксида углерода» как немедицинские изделия.</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тем с учетом позиции регуляторов Армении и Республики Беларусь, участник закупки находится в ситуации, когда производимое на территории в Российской Федерации немедицинское изделие «Абсорбент углекислого газа Спиросорб дня наркозной и дыхательной аппаратуры» фактически не допускается к обороту на территории Российской Федерации, при том в Армении и Республики Беларусь данный товар продается и используется на основании норм ЕАЭС без регистрационного удостоверения на медицинское изделие.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с учетом норм Договора, а также с учетом позиции Росздравнадзора, Заявитель считает, что требование к наличию регистрационного удостоверения на закупаемый товар противоречит действующим международным нормам, а также ограничивает допуск участников закупки, которые производят товар в том числе для медицинских целей, по которым Росздравнадзор отказал в регистрации в качестве медицинского изделия</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На заседании Комиссии Управления представитель Заказчика пояснил, что коллегия Евразийской экономической комиссии в соответствии со статьей 31 Договора о Евразийском экономическом союзе от 29.05.2014 и п. 2 ст. 3 Соглашения о единых принципах и правилах обращения медицинских изделий (изделий медицинского назначения и медицинской техники) в рамках Евразийского </w:t>
      </w:r>
      <w:r>
        <w:rPr>
          <w:color w:val="000000"/>
          <w:spacing w:val="0"/>
          <w:w w:val="100"/>
          <w:position w:val="0"/>
          <w:shd w:val="clear" w:color="auto" w:fill="auto"/>
          <w:lang w:val="ru-RU" w:eastAsia="ru-RU" w:bidi="ru-RU"/>
        </w:rPr>
        <w:t>экономического союза от 23.12.2014, в целях устранения различий в требованиях, предъявляемых при отнесении продукции к медицинским изделиям, рекомендует государствам - членам Евразийского экономического союза по истечении 6 месяцев с даты опубликования Рекомендации от 12.11.2018 № 25 «О критериях отнесения продукции к медицинским изделиям в рамках Евразийского экономического союза» (далее - Критерии) на официальном сайте Евразийского экономического союза применять Критерии отнесения продукции к медицинским изделиям в рамках Евразийского экономического союза согласно приложению.</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 согласно п. 5 Критериев назначение медицинского изделия является одним из основных критериев отнесения продукции к медицинским изделиям. Применение медицинского изделия должно предусматривать его медицинское предназначение. Такое медицинское предназначение должно быть единственным или основным.</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Представитель Заказчика также добавил, что объектом закупки, согласно извещению о проведении электронного аукциона, является поставка медицинского изделия, поскольку закупаемый товар будет применяться Заказчиком в качестве медицинского изделия, следственно такой товар имеет медицинское предназначение, а, следовательно, должен являться медицинским изделием и быть зарегистрированным в установленном порядке.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Представитель Заказчика также добавил, что согласно данным государственного реестра медицинских изделий, размещенного на официальном сайте Росздравнадзора в сети «Интернет», имеется несколько действующих регистрационных удостоверений на абсорбент (натронную известь), в том числе:</w:t>
      </w:r>
    </w:p>
    <w:p>
      <w:pPr>
        <w:pStyle w:val="Style2"/>
        <w:keepNext w:val="0"/>
        <w:keepLines w:val="0"/>
        <w:widowControl w:val="0"/>
        <w:numPr>
          <w:ilvl w:val="0"/>
          <w:numId w:val="3"/>
        </w:numPr>
        <w:shd w:val="clear" w:color="auto" w:fill="auto"/>
        <w:tabs>
          <w:tab w:pos="89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ФСЗ 2010/08630 от 29.06.2020 «Абсорбент углекислоты в дыхательной смеси ^^аеде^8о^^ 800 р1и§»;</w:t>
      </w:r>
    </w:p>
    <w:p>
      <w:pPr>
        <w:pStyle w:val="Style2"/>
        <w:keepNext w:val="0"/>
        <w:keepLines w:val="0"/>
        <w:widowControl w:val="0"/>
        <w:numPr>
          <w:ilvl w:val="0"/>
          <w:numId w:val="3"/>
        </w:numPr>
        <w:shd w:val="clear" w:color="auto" w:fill="auto"/>
        <w:tabs>
          <w:tab w:pos="88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ФСЗ 2009/04992 от 17.02.2017 «Изделия медицинские полимерные для анестезиологии и реаниматологии Абсорбент - натронная известь»;</w:t>
      </w:r>
    </w:p>
    <w:p>
      <w:pPr>
        <w:pStyle w:val="Style2"/>
        <w:keepNext w:val="0"/>
        <w:keepLines w:val="0"/>
        <w:widowControl w:val="0"/>
        <w:numPr>
          <w:ilvl w:val="0"/>
          <w:numId w:val="3"/>
        </w:numPr>
        <w:shd w:val="clear" w:color="auto" w:fill="auto"/>
        <w:tabs>
          <w:tab w:pos="89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ФСЗ 2009/03551 от 08.06.2021 «Устройства и дыхательные системы для наркозно-дыхательных аппаратов, аэрозольной и кислородной терапии Абсорбенты углекислого газа: не содержащие и содержащие гидроксиды щелочных металлов в упаковочных пакетах, в канистрах, в картриджах, в пластиковых вёдрах».</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свою очередь Комиссия Управления отмечает следующее.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В силу ч.1 ст.38 Федерального закона «Об основах охраны здоровья граждан в Российской Федерации» от 21.11.2011 №323-ФЗ (далее — Закон об основах охраны здоровья граждан) определено, что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w:t>
      </w:r>
      <w:r>
        <w:rPr>
          <w:color w:val="000000"/>
          <w:spacing w:val="0"/>
          <w:w w:val="100"/>
          <w:position w:val="0"/>
          <w:shd w:val="clear" w:color="auto" w:fill="auto"/>
          <w:lang w:val="ru-RU" w:eastAsia="ru-RU" w:bidi="ru-RU"/>
        </w:rPr>
        <w:t>взаимозаменяемыми, если они сравнимы по функциональному назначению, качественным и техническим характеристикам и способны заменить друг друга.</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этим, в силу ч.4 ст.38 Закона об основах охраны здоровья граждан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Постановлением Правительства Российской Федерации от 27.12.2012 № 1416 «Об утверждении Правил государственной регистрации медицинских изделий» утверждены правила государственной регистрации медицинских изделий (далее — Правила).</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п.2 Правил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П.6 Правил 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 учетом вышеизложенного, действующим законодательством предусмотрено, что обязательным документом, подтверждающим возможность оборота на территории Российской Федерации медицинского изделия, за исключением случаев прямо предусмотренных законом, является регистрационное удостоверение.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приложению №1 к приказу Министерства здравоохранения Российской Федерации от 6 июня 2012 года № 4н «Об утверждении номенклатурной классификации медицинских изделий» (далее - Номенклатурная классификация) номенклатурная классификация медицинских изделий по видам (далее - классификация) содержит числовое обозначение вида медицинского изделия - идентификационный уникальный номер записи*, наименование вида медицинского изделия, описание вида медицинского изделия, содержащее соответствующие классификационные признаки вида медицинского изделия, указываемые в зависимости от назначения медицинского изделия.</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что Заказчиком закупается медицинское изделие, что, в свою очередь, свидетельствует о правомерности установления оспариваемого требования.</w:t>
      </w:r>
    </w:p>
    <w:p>
      <w:pPr>
        <w:pStyle w:val="Style2"/>
        <w:keepNext w:val="0"/>
        <w:keepLines w:val="0"/>
        <w:widowControl w:val="0"/>
        <w:shd w:val="clear" w:color="auto" w:fill="auto"/>
        <w:bidi w:val="0"/>
        <w:spacing w:before="0" w:after="0" w:line="240" w:lineRule="auto"/>
        <w:ind w:left="0" w:right="0" w:firstLine="700"/>
        <w:jc w:val="both"/>
        <w:sectPr>
          <w:headerReference w:type="default" r:id="rId8"/>
          <w:footerReference w:type="default" r:id="rId9"/>
          <w:footnotePr>
            <w:pos w:val="pageBottom"/>
            <w:numFmt w:val="decimal"/>
            <w:numRestart w:val="continuous"/>
          </w:footnotePr>
          <w:pgSz w:w="11900" w:h="16840"/>
          <w:pgMar w:top="1162" w:right="532" w:bottom="1114" w:left="1091" w:header="0" w:footer="3" w:gutter="0"/>
          <w:cols w:space="720"/>
          <w:noEndnote/>
          <w:rtlGutter w:val="0"/>
          <w:docGrid w:linePitch="360"/>
        </w:sectPr>
      </w:pPr>
      <w:r>
        <w:rPr>
          <w:color w:val="000000"/>
          <w:spacing w:val="0"/>
          <w:w w:val="100"/>
          <w:position w:val="0"/>
          <w:shd w:val="clear" w:color="auto" w:fill="auto"/>
          <w:lang w:val="ru-RU" w:eastAsia="ru-RU" w:bidi="ru-RU"/>
        </w:rPr>
        <w:t>Одновременно с этим в отношении приведенных Заявителем в составе жалобы сведений о нормативном регулировании регистрации медицинских изделий в рамках Евразийского экономического союза Комиссия Управления считает необходимым отметить следующее.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Ст.31 Договора о Евразийском экономическом союзе установлено:</w:t>
      </w:r>
    </w:p>
    <w:p>
      <w:pPr>
        <w:pStyle w:val="Style2"/>
        <w:keepNext w:val="0"/>
        <w:keepLines w:val="0"/>
        <w:widowControl w:val="0"/>
        <w:numPr>
          <w:ilvl w:val="0"/>
          <w:numId w:val="5"/>
        </w:numPr>
        <w:shd w:val="clear" w:color="auto" w:fill="auto"/>
        <w:tabs>
          <w:tab w:pos="105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Государства-члены создают в рамках Евразийского экономического союза (далее - Союз) общий рынок медицинских изделий (изделий медицинского назначения и медицинской техники), основанный на следующих принципах:</w:t>
      </w:r>
    </w:p>
    <w:p>
      <w:pPr>
        <w:pStyle w:val="Style2"/>
        <w:keepNext w:val="0"/>
        <w:keepLines w:val="0"/>
        <w:widowControl w:val="0"/>
        <w:numPr>
          <w:ilvl w:val="0"/>
          <w:numId w:val="7"/>
        </w:numPr>
        <w:shd w:val="clear" w:color="auto" w:fill="auto"/>
        <w:tabs>
          <w:tab w:pos="109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гармонизация требований законодательства государств-членов в сфере обращения медицинских изделий (изделий медицинского назначения и медицинской техники);</w:t>
      </w:r>
    </w:p>
    <w:p>
      <w:pPr>
        <w:pStyle w:val="Style2"/>
        <w:keepNext w:val="0"/>
        <w:keepLines w:val="0"/>
        <w:widowControl w:val="0"/>
        <w:numPr>
          <w:ilvl w:val="0"/>
          <w:numId w:val="7"/>
        </w:numPr>
        <w:shd w:val="clear" w:color="auto" w:fill="auto"/>
        <w:tabs>
          <w:tab w:pos="109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обеспечение единства обязательных требований к эффективности и безопасности медицинских изделий (изделий медицинского назначения и медицинской техники), находящихся в обращении на территории Союза;</w:t>
      </w:r>
    </w:p>
    <w:p>
      <w:pPr>
        <w:pStyle w:val="Style2"/>
        <w:keepNext w:val="0"/>
        <w:keepLines w:val="0"/>
        <w:widowControl w:val="0"/>
        <w:numPr>
          <w:ilvl w:val="0"/>
          <w:numId w:val="7"/>
        </w:numPr>
        <w:shd w:val="clear" w:color="auto" w:fill="auto"/>
        <w:tabs>
          <w:tab w:pos="109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принятие единых правил в сфере обращения медицинских изделий (изделий медицинского назначения и медицинской техники);</w:t>
      </w:r>
    </w:p>
    <w:p>
      <w:pPr>
        <w:pStyle w:val="Style2"/>
        <w:keepNext w:val="0"/>
        <w:keepLines w:val="0"/>
        <w:widowControl w:val="0"/>
        <w:numPr>
          <w:ilvl w:val="0"/>
          <w:numId w:val="7"/>
        </w:numPr>
        <w:shd w:val="clear" w:color="auto" w:fill="auto"/>
        <w:tabs>
          <w:tab w:pos="109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определение единых подходов к созданию системы обеспечения качества медицинских изделий (изделий медицинского назначения и медицинской техники);</w:t>
      </w:r>
    </w:p>
    <w:p>
      <w:pPr>
        <w:pStyle w:val="Style2"/>
        <w:keepNext w:val="0"/>
        <w:keepLines w:val="0"/>
        <w:widowControl w:val="0"/>
        <w:numPr>
          <w:ilvl w:val="0"/>
          <w:numId w:val="7"/>
        </w:numPr>
        <w:shd w:val="clear" w:color="auto" w:fill="auto"/>
        <w:tabs>
          <w:tab w:pos="109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гармонизация законодательства государств-членов в области контроля (надзора) в сфере обращения медицинских изделий (изделий медицинского назначения и медицинской техники).</w:t>
      </w:r>
    </w:p>
    <w:p>
      <w:pPr>
        <w:pStyle w:val="Style2"/>
        <w:keepNext w:val="0"/>
        <w:keepLines w:val="0"/>
        <w:widowControl w:val="0"/>
        <w:numPr>
          <w:ilvl w:val="0"/>
          <w:numId w:val="5"/>
        </w:numPr>
        <w:shd w:val="clear" w:color="auto" w:fill="auto"/>
        <w:tabs>
          <w:tab w:pos="105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Функционирование общего рынка медицинских изделий (изделий медицинского назначения и медицинской техники) в рамках Союза осуществляется в соответствии с международным договором в рамках Союза с учетом положений статьи 100 настоящего Договора.</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ч.2 ст.3 Соглашения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 (далее - Соглашение о единых принципах и правилах обращения медицинских изделий) государства-члены проводят скоординированную политику в сфере обращения медицинских изделий посредством:</w:t>
      </w:r>
    </w:p>
    <w:p>
      <w:pPr>
        <w:pStyle w:val="Style2"/>
        <w:keepNext w:val="0"/>
        <w:keepLines w:val="0"/>
        <w:widowControl w:val="0"/>
        <w:numPr>
          <w:ilvl w:val="0"/>
          <w:numId w:val="9"/>
        </w:numPr>
        <w:shd w:val="clear" w:color="auto" w:fill="auto"/>
        <w:tabs>
          <w:tab w:pos="108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принятия мер, необходимых для гармонизации законодательства государств- членов в сфере обращения медицинских изделий;</w:t>
      </w:r>
    </w:p>
    <w:p>
      <w:pPr>
        <w:pStyle w:val="Style2"/>
        <w:keepNext w:val="0"/>
        <w:keepLines w:val="0"/>
        <w:widowControl w:val="0"/>
        <w:numPr>
          <w:ilvl w:val="0"/>
          <w:numId w:val="9"/>
        </w:numPr>
        <w:shd w:val="clear" w:color="auto" w:fill="auto"/>
        <w:tabs>
          <w:tab w:pos="109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установления общих требований безопасности и эффективности медицинских изделий в рамках Союза;</w:t>
      </w:r>
    </w:p>
    <w:p>
      <w:pPr>
        <w:pStyle w:val="Style2"/>
        <w:keepNext w:val="0"/>
        <w:keepLines w:val="0"/>
        <w:widowControl w:val="0"/>
        <w:numPr>
          <w:ilvl w:val="0"/>
          <w:numId w:val="9"/>
        </w:numPr>
        <w:shd w:val="clear" w:color="auto" w:fill="auto"/>
        <w:tabs>
          <w:tab w:pos="108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установления единых правил обращения медицинских изделий в соответствии с рекомендациями Международного форума регуляторов медицинских изделий (1М1Ж1-);</w:t>
      </w:r>
    </w:p>
    <w:p>
      <w:pPr>
        <w:pStyle w:val="Style2"/>
        <w:keepNext w:val="0"/>
        <w:keepLines w:val="0"/>
        <w:widowControl w:val="0"/>
        <w:numPr>
          <w:ilvl w:val="0"/>
          <w:numId w:val="9"/>
        </w:numPr>
        <w:shd w:val="clear" w:color="auto" w:fill="auto"/>
        <w:tabs>
          <w:tab w:pos="106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определения единых подходов к созданию системы обеспечения качества медицинских изделий;</w:t>
      </w:r>
    </w:p>
    <w:p>
      <w:pPr>
        <w:pStyle w:val="Style2"/>
        <w:keepNext w:val="0"/>
        <w:keepLines w:val="0"/>
        <w:widowControl w:val="0"/>
        <w:numPr>
          <w:ilvl w:val="0"/>
          <w:numId w:val="9"/>
        </w:numPr>
        <w:shd w:val="clear" w:color="auto" w:fill="auto"/>
        <w:tabs>
          <w:tab w:pos="109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гармонизации номенклатуры медицинских изделий, используемой в государствах-членах, с Глобальной номенклатурой медицинских изделий (О1оЪа1 МесПса! 1)е\асе Ж)тепс1а111ге);</w:t>
      </w:r>
    </w:p>
    <w:p>
      <w:pPr>
        <w:pStyle w:val="Style2"/>
        <w:keepNext w:val="0"/>
        <w:keepLines w:val="0"/>
        <w:widowControl w:val="0"/>
        <w:numPr>
          <w:ilvl w:val="0"/>
          <w:numId w:val="9"/>
        </w:numPr>
        <w:shd w:val="clear" w:color="auto" w:fill="auto"/>
        <w:tabs>
          <w:tab w:pos="107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гармонизации законодательства государств-членов в области контроля (надзора) в сфере обращения медицинских изделий.</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Ч.2 ст.4 Соглашения о единых принципах и правилах обращения медицинских изделий медицинские изделия, выпускаемые в обращение в рамках Союза, подлежат регистрации в порядке, устанавливаемом Комиссией.</w:t>
      </w:r>
    </w:p>
    <w:p>
      <w:pPr>
        <w:pStyle w:val="Style2"/>
        <w:keepNext w:val="0"/>
        <w:keepLines w:val="0"/>
        <w:widowControl w:val="0"/>
        <w:shd w:val="clear" w:color="auto" w:fill="auto"/>
        <w:bidi w:val="0"/>
        <w:spacing w:before="0" w:after="0" w:line="300" w:lineRule="auto"/>
        <w:ind w:left="0" w:right="0" w:firstLine="700"/>
        <w:jc w:val="both"/>
        <w:rPr>
          <w:sz w:val="22"/>
          <w:szCs w:val="22"/>
        </w:rPr>
      </w:pPr>
      <w:r>
        <w:rPr>
          <w:color w:val="000000"/>
          <w:spacing w:val="0"/>
          <w:w w:val="100"/>
          <w:position w:val="0"/>
          <w:sz w:val="28"/>
          <w:szCs w:val="28"/>
          <w:shd w:val="clear" w:color="auto" w:fill="auto"/>
          <w:lang w:val="ru-RU" w:eastAsia="ru-RU" w:bidi="ru-RU"/>
        </w:rPr>
        <w:t xml:space="preserve">В силу ч.4 ст.4 Соглашения о единых принципах и правилах обращения медицинских изделий в целях регистрации медицинских изделий утверждены </w:t>
      </w:r>
      <w:r>
        <w:rPr>
          <w:rFonts w:ascii="Cambria" w:eastAsia="Cambria" w:hAnsi="Cambria" w:cs="Cambria"/>
          <w:color w:val="000000"/>
          <w:spacing w:val="0"/>
          <w:w w:val="100"/>
          <w:position w:val="0"/>
          <w:sz w:val="22"/>
          <w:szCs w:val="22"/>
          <w:shd w:val="clear" w:color="auto" w:fill="auto"/>
          <w:lang w:val="ru-RU" w:eastAsia="ru-RU" w:bidi="ru-RU"/>
        </w:rPr>
        <w:t>2024-45921</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правила классификации медицинских изделий в зависимости от потенциального риска применения, правила ведения номенклатуры медицинских изделий, общие требования безопасности и эффективности медицинских изделий, требования к эксплуатационной документации медицинских изделий, правила проведения исследований (испытаний) медицинских изделий, правила регистрации медицинских изделий (в том числе требования к регистрационному досье, заявлению о регистрации, основания и порядок приостановления или отмены действия (аннулирования) регистрационного удостоверения медицинского изделия), правила проведения экспертизы безопасности, качества и эффективности медицинских изделий утверждаются Комиссией.</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ч.6 ст.4 Соглашения о единых принципах и правилах обращения медицинских изделий документом, подтверждающим факт регистрации медицинского изделия, является регистрационное удостоверение медицинского изделия, действующее в рамках Союза.</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 учетом вышеизложенного, действующим законодательством предусмотрено, что обязательным документом, подтверждающим возможность оборота на территории Союза медицинского изделия, за исключением случаев прямо предусмотренных законом, является регистрационное удостоверение.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П.3 Решения Коллегии Евразийской экономической комиссии от 29.12.2015 №177 «О Правилах ведения номенклатуры медицинских изделий» определено, что номенклатура медицинских изделий Союза содержит перечень видов медицинских изделий с указанием номенклатурных наименований, уникальных кодов и описаний видов медицинских изделий, включающих классификационные признаки медицинских изделий в зависимости от назначения медицинских изделий и (или) их устройства.</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номенклатура медицинских изделий Союза содержит уникальный индивидуальный номер вида медицинского изделия 241200 «Абсорбер диоксида углерода, многоразового использования».</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Также Комиссия Управления отмечает, что в Перечне изделий, исключенных из номенклатуры медицинских изделий Евразийского экономического союза как не медицинских, сформированного по итогам рассмотрения членами рабочей группы по координации работ по созданию и ведению номенклатуры медицинских изделий Евразийского экономического союза уникальный индивидуальный номер вида медицинского изделия 241200 «Абсорбер диоксида углерода, многоразового использования» не содержится.</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Кроме того, Комиссия Управления отмечает, что положения представленного Заявителем письма не свидетельствуют о том, что товары могут обращаться на территории Российской Федерации без регистрационного удостоверения, а также, что указанные регистрационные удостоверения являются действующими, а также являются медицинскими изделиями.</w:t>
      </w:r>
    </w:p>
    <w:p>
      <w:pPr>
        <w:pStyle w:val="Style2"/>
        <w:keepNext w:val="0"/>
        <w:keepLines w:val="0"/>
        <w:widowControl w:val="0"/>
        <w:shd w:val="clear" w:color="auto" w:fill="auto"/>
        <w:bidi w:val="0"/>
        <w:spacing w:before="0" w:after="0" w:line="264" w:lineRule="auto"/>
        <w:ind w:left="0" w:right="0" w:firstLine="700"/>
        <w:jc w:val="both"/>
        <w:rPr>
          <w:sz w:val="22"/>
          <w:szCs w:val="22"/>
        </w:rPr>
        <w:sectPr>
          <w:headerReference w:type="default" r:id="rId10"/>
          <w:footerReference w:type="default" r:id="rId11"/>
          <w:footnotePr>
            <w:pos w:val="pageBottom"/>
            <w:numFmt w:val="decimal"/>
            <w:numRestart w:val="continuous"/>
          </w:footnotePr>
          <w:pgSz w:w="11900" w:h="16840"/>
          <w:pgMar w:top="1162" w:right="536" w:bottom="653" w:left="1106" w:header="0" w:footer="225"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На основании вышеизложенного Комиссия Управления приходит к выводу, что в рамках обжалуемой закупочной процедуры, вопреки доводам жалобы, Заказчиком закупается медицинское изделие, возможность обращения которого на территории Союза, Российской Федерации подтверждается наличием регистрационного удостоверения на такое изделие, выданным в установленном порядке, при этом </w:t>
      </w:r>
      <w:r>
        <w:rPr>
          <w:rFonts w:ascii="Cambria" w:eastAsia="Cambria" w:hAnsi="Cambria" w:cs="Cambria"/>
          <w:color w:val="000000"/>
          <w:spacing w:val="0"/>
          <w:w w:val="100"/>
          <w:position w:val="0"/>
          <w:sz w:val="22"/>
          <w:szCs w:val="22"/>
          <w:shd w:val="clear" w:color="auto" w:fill="auto"/>
          <w:lang w:val="ru-RU" w:eastAsia="ru-RU" w:bidi="ru-RU"/>
        </w:rPr>
        <w:t>2024-45921</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регистрационные удостоверения, упомянутые в жалобе не утратили свою силу, в связи с чем требование Заказчика о необходимости представления такого удостоверения в составе заявки на участие в закупке является правомерным и установлено в соответствии с пп.«в» п.2 ч.1 ст.43 Закона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Иного на заседании Комиссии Управления не установлено.</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что доводы жалобы Заявителя не нашли своего подтверждения и являются необоснованными.</w:t>
      </w:r>
    </w:p>
    <w:p>
      <w:pPr>
        <w:pStyle w:val="Style2"/>
        <w:keepNext w:val="0"/>
        <w:keepLines w:val="0"/>
        <w:widowControl w:val="0"/>
        <w:shd w:val="clear" w:color="auto" w:fill="auto"/>
        <w:bidi w:val="0"/>
        <w:spacing w:before="0" w:after="280" w:line="240" w:lineRule="auto"/>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2"/>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2"/>
        <w:keepNext w:val="0"/>
        <w:keepLines w:val="0"/>
        <w:widowControl w:val="0"/>
        <w:numPr>
          <w:ilvl w:val="0"/>
          <w:numId w:val="11"/>
        </w:numPr>
        <w:shd w:val="clear" w:color="auto" w:fill="auto"/>
        <w:tabs>
          <w:tab w:pos="1155" w:val="left"/>
        </w:tabs>
        <w:bidi w:val="0"/>
        <w:spacing w:before="0" w:after="0" w:line="240" w:lineRule="auto"/>
        <w:ind w:left="0" w:right="0" w:firstLine="880"/>
        <w:jc w:val="both"/>
      </w:pPr>
      <w:r>
        <w:rPr>
          <w:color w:val="000000"/>
          <w:spacing w:val="0"/>
          <w:w w:val="100"/>
          <w:position w:val="0"/>
          <w:shd w:val="clear" w:color="auto" w:fill="auto"/>
          <w:lang w:val="ru-RU" w:eastAsia="ru-RU" w:bidi="ru-RU"/>
        </w:rPr>
        <w:t>.Признать жалобу ООО «СПИРОНИКА» на действия ЦКБ ГА необоснованной.</w:t>
      </w:r>
    </w:p>
    <w:p>
      <w:pPr>
        <w:pStyle w:val="Style2"/>
        <w:keepNext w:val="0"/>
        <w:keepLines w:val="0"/>
        <w:widowControl w:val="0"/>
        <w:numPr>
          <w:ilvl w:val="0"/>
          <w:numId w:val="11"/>
        </w:numPr>
        <w:shd w:val="clear" w:color="auto" w:fill="auto"/>
        <w:tabs>
          <w:tab w:pos="1174" w:val="left"/>
        </w:tabs>
        <w:bidi w:val="0"/>
        <w:spacing w:before="0" w:after="280" w:line="240" w:lineRule="auto"/>
        <w:ind w:left="0" w:right="0" w:firstLine="880"/>
        <w:jc w:val="both"/>
      </w:pPr>
      <w:r>
        <w:rPr>
          <w:color w:val="000000"/>
          <w:spacing w:val="0"/>
          <w:w w:val="100"/>
          <w:position w:val="0"/>
          <w:shd w:val="clear" w:color="auto" w:fill="auto"/>
          <w:lang w:val="ru-RU" w:eastAsia="ru-RU" w:bidi="ru-RU"/>
        </w:rPr>
        <w:t>.Снять ограничения, наложенные на определение поставщика (подрядчика, исполнителя) Московским УФАС России.</w:t>
      </w:r>
    </w:p>
    <w:p>
      <w:pPr>
        <w:pStyle w:val="Style2"/>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headerReference w:type="default" r:id="rId12"/>
          <w:footerReference w:type="default" r:id="rId13"/>
          <w:footnotePr>
            <w:pos w:val="pageBottom"/>
            <w:numFmt w:val="decimal"/>
            <w:numRestart w:val="continuous"/>
          </w:footnotePr>
          <w:pgSz w:w="11900" w:h="16840"/>
          <w:pgMar w:top="1162" w:right="536" w:bottom="1829" w:left="1106" w:header="0" w:footer="3" w:gutter="0"/>
          <w:cols w:space="720"/>
          <w:noEndnote/>
          <w:rtlGutter w:val="0"/>
          <w:docGrid w:linePitch="360"/>
        </w:sectPr>
      </w:pPr>
      <w:r>
        <mc:AlternateContent>
          <mc:Choice Requires="wps">
            <w:drawing>
              <wp:anchor distT="127000" distB="216535" distL="0" distR="0" simplePos="0" relativeHeight="125829388" behindDoc="0" locked="0" layoutInCell="1" allowOverlap="1">
                <wp:simplePos x="0" y="0"/>
                <wp:positionH relativeFrom="page">
                  <wp:posOffset>735965</wp:posOffset>
                </wp:positionH>
                <wp:positionV relativeFrom="paragraph">
                  <wp:posOffset>127000</wp:posOffset>
                </wp:positionV>
                <wp:extent cx="1896110" cy="252730"/>
                <wp:wrapTopAndBottom/>
                <wp:docPr id="25" name="Shape 25"/>
                <a:graphic xmlns:a="http://schemas.openxmlformats.org/drawingml/2006/main">
                  <a:graphicData uri="http://schemas.microsoft.com/office/word/2010/wordprocessingShape">
                    <wps:wsp>
                      <wps:cNvSpPr txBox="1"/>
                      <wps:spPr>
                        <a:xfrm>
                          <a:ext cx="1896110" cy="2527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51" type="#_x0000_t202" style="position:absolute;margin-left:57.950000000000003pt;margin-top:10.pt;width:149.30000000000001pt;height:19.900000000000002pt;z-index:-125829365;mso-wrap-distance-left:0;mso-wrap-distance-top:10.pt;mso-wrap-distance-right:0;mso-wrap-distance-bottom:17.05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200025" distB="0" distL="0" distR="1789430" simplePos="0" relativeHeight="125829390" behindDoc="0" locked="0" layoutInCell="1" allowOverlap="1">
            <wp:simplePos x="0" y="0"/>
            <wp:positionH relativeFrom="page">
              <wp:posOffset>3107055</wp:posOffset>
            </wp:positionH>
            <wp:positionV relativeFrom="paragraph">
              <wp:posOffset>200025</wp:posOffset>
            </wp:positionV>
            <wp:extent cx="353695" cy="396240"/>
            <wp:wrapTopAndBottom/>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4"/>
                    <a:stretch/>
                  </pic:blipFill>
                  <pic:spPr>
                    <a:xfrm>
                      <a:ext cx="353695"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3524885</wp:posOffset>
                </wp:positionH>
                <wp:positionV relativeFrom="paragraph">
                  <wp:posOffset>291465</wp:posOffset>
                </wp:positionV>
                <wp:extent cx="1725295" cy="255905"/>
                <wp:wrapNone/>
                <wp:docPr id="29" name="Shape 2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77.55000000000001pt;margin-top:22.949999999999999pt;width:135.84999999999999pt;height:20.150000000000002pt;z-index:251657729;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216535" distL="0" distR="0" simplePos="0" relativeHeight="125829391" behindDoc="0" locked="0" layoutInCell="1" allowOverlap="1">
                <wp:simplePos x="0" y="0"/>
                <wp:positionH relativeFrom="page">
                  <wp:posOffset>6185535</wp:posOffset>
                </wp:positionH>
                <wp:positionV relativeFrom="paragraph">
                  <wp:posOffset>127000</wp:posOffset>
                </wp:positionV>
                <wp:extent cx="1029970" cy="252730"/>
                <wp:wrapTopAndBottom/>
                <wp:docPr id="31" name="Shape 31"/>
                <a:graphic xmlns:a="http://schemas.openxmlformats.org/drawingml/2006/main">
                  <a:graphicData uri="http://schemas.microsoft.com/office/word/2010/wordprocessingShape">
                    <wps:wsp>
                      <wps:cNvSpPr txBox="1"/>
                      <wps:spPr>
                        <a:xfrm>
                          <a:ext cx="1029970" cy="2527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wps:txbx>
                      <wps:bodyPr wrap="none" lIns="0" tIns="0" rIns="0" bIns="0">
                        <a:noAutoFit/>
                      </wps:bodyPr>
                    </wps:wsp>
                  </a:graphicData>
                </a:graphic>
              </wp:anchor>
            </w:drawing>
          </mc:Choice>
          <mc:Fallback>
            <w:pict>
              <v:shape id="_x0000_s1057" type="#_x0000_t202" style="position:absolute;margin-left:487.05000000000001pt;margin-top:10.pt;width:81.100000000000009pt;height:19.900000000000002pt;z-index:-125829362;mso-wrap-distance-left:0;mso-wrap-distance-top:10.pt;mso-wrap-distance-right:0;mso-wrap-distance-bottom:17.05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v:textbox>
                <w10:wrap type="topAndBottom" anchorx="page"/>
              </v:shape>
            </w:pict>
          </mc:Fallback>
        </mc:AlternateContent>
      </w:r>
    </w:p>
    <w:p>
      <w:pPr>
        <w:pStyle w:val="Style2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color w:val="E8E8E8"/>
          <w:spacing w:val="0"/>
          <w:w w:val="100"/>
          <w:position w:val="0"/>
          <w:shd w:val="clear" w:color="auto" w:fill="auto"/>
          <w:lang w:val="ru-RU" w:eastAsia="ru-RU" w:bidi="ru-RU"/>
        </w:rPr>
        <w:t xml:space="preserve">СВЕДЕНИЯ О СЕРТИФИКАТЕ </w:t>
      </w:r>
      <w:r>
        <w:rPr>
          <w:color w:val="FFFFFF"/>
          <w:spacing w:val="0"/>
          <w:w w:val="100"/>
          <w:position w:val="0"/>
          <w:shd w:val="clear" w:color="auto" w:fill="auto"/>
          <w:lang w:val="ru-RU" w:eastAsia="ru-RU" w:bidi="ru-RU"/>
        </w:rPr>
        <w:t>ЭП</w:t>
      </w:r>
    </w:p>
    <w:p>
      <w:pPr>
        <w:pStyle w:val="Style28"/>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КАЗАРИН СЕРГЕЙ ИГОРЕВИЧ</w:t>
      </w:r>
    </w:p>
    <w:p>
      <w:pPr>
        <w:pStyle w:val="Style28"/>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62626"/>
          <w:spacing w:val="0"/>
          <w:w w:val="100"/>
          <w:position w:val="0"/>
          <w:shd w:val="clear" w:color="auto" w:fill="auto"/>
          <w:lang w:val="ru-RU" w:eastAsia="ru-RU" w:bidi="ru-RU"/>
        </w:rPr>
        <w:t xml:space="preserve">00Э590946Э31СЕ073ВЕ5С5О6ЕЕ7501 </w:t>
      </w:r>
      <w:r>
        <w:rPr>
          <w:color w:val="000000"/>
          <w:spacing w:val="0"/>
          <w:w w:val="100"/>
          <w:position w:val="0"/>
          <w:shd w:val="clear" w:color="auto" w:fill="auto"/>
          <w:lang w:val="ru-RU" w:eastAsia="ru-RU" w:bidi="ru-RU"/>
        </w:rPr>
        <w:t>0760</w:t>
      </w:r>
    </w:p>
    <w:p>
      <w:pPr>
        <w:pStyle w:val="Style28"/>
        <w:keepNext w:val="0"/>
        <w:keepLines w:val="0"/>
        <w:widowControl w:val="0"/>
        <w:shd w:val="clear" w:color="auto" w:fill="auto"/>
        <w:bidi w:val="0"/>
        <w:spacing w:before="0" w:after="56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62626"/>
          <w:spacing w:val="0"/>
          <w:w w:val="100"/>
          <w:position w:val="0"/>
          <w:shd w:val="clear" w:color="auto" w:fill="auto"/>
          <w:lang w:val="ru-RU" w:eastAsia="ru-RU" w:bidi="ru-RU"/>
        </w:rPr>
        <w:t xml:space="preserve">12.03.2024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05.06.2025</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2"/>
        <w:keepNext w:val="0"/>
        <w:keepLines w:val="0"/>
        <w:widowControl w:val="0"/>
        <w:shd w:val="clear" w:color="auto" w:fill="auto"/>
        <w:bidi w:val="0"/>
        <w:spacing w:before="0" w:after="415" w:line="240" w:lineRule="auto"/>
        <w:ind w:left="1500" w:right="0" w:firstLine="0"/>
        <w:jc w:val="left"/>
      </w:pPr>
      <w:r>
        <w:drawing>
          <wp:anchor distT="0" distB="0" distL="114300" distR="1903730" simplePos="0" relativeHeight="125829393" behindDoc="0" locked="0" layoutInCell="1" allowOverlap="1">
            <wp:simplePos x="0" y="0"/>
            <wp:positionH relativeFrom="page">
              <wp:posOffset>3107055</wp:posOffset>
            </wp:positionH>
            <wp:positionV relativeFrom="paragraph">
              <wp:posOffset>76200</wp:posOffset>
            </wp:positionV>
            <wp:extent cx="353695" cy="402590"/>
            <wp:wrapSquare wrapText="right"/>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16"/>
                    <a:stretch/>
                  </pic:blipFill>
                  <pic:spPr>
                    <a:xfrm>
                      <a:ext cx="353695" cy="40259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3524885</wp:posOffset>
                </wp:positionH>
                <wp:positionV relativeFrom="paragraph">
                  <wp:posOffset>167640</wp:posOffset>
                </wp:positionV>
                <wp:extent cx="1725295" cy="255905"/>
                <wp:wrapNone/>
                <wp:docPr id="35" name="Shape 3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77.55000000000001pt;margin-top:13.200000000000001pt;width:135.84999999999999pt;height:20.150000000000002pt;z-index:251657731;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Э.З. Гугава</w:t>
      </w:r>
    </w:p>
    <w:p>
      <w:pPr>
        <w:pStyle w:val="Style25"/>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8"/>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Гугава Эдуард Звиадович</w:t>
      </w:r>
    </w:p>
    <w:p>
      <w:pPr>
        <w:pStyle w:val="Style28"/>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008АВСВВ24Э1</w:t>
      </w:r>
      <w:r>
        <w:rPr>
          <w:color w:val="434343"/>
          <w:spacing w:val="0"/>
          <w:w w:val="100"/>
          <w:position w:val="0"/>
          <w:shd w:val="clear" w:color="auto" w:fill="auto"/>
          <w:lang w:val="ru-RU" w:eastAsia="ru-RU" w:bidi="ru-RU"/>
        </w:rPr>
        <w:t>В04705С4В01</w:t>
      </w:r>
      <w:r>
        <w:rPr>
          <w:color w:val="262626"/>
          <w:spacing w:val="0"/>
          <w:w w:val="100"/>
          <w:position w:val="0"/>
          <w:shd w:val="clear" w:color="auto" w:fill="auto"/>
          <w:lang w:val="ru-RU" w:eastAsia="ru-RU" w:bidi="ru-RU"/>
        </w:rPr>
        <w:t>30528702ЕАЕ</w:t>
      </w:r>
    </w:p>
    <w:p>
      <w:pPr>
        <w:pStyle w:val="Style28"/>
        <w:keepNext w:val="0"/>
        <w:keepLines w:val="0"/>
        <w:widowControl w:val="0"/>
        <w:shd w:val="clear" w:color="auto" w:fill="auto"/>
        <w:bidi w:val="0"/>
        <w:spacing w:before="0" w:after="560" w:line="240" w:lineRule="auto"/>
        <w:ind w:right="0" w:firstLine="0"/>
        <w:jc w:val="left"/>
      </w:pPr>
      <w:r>
        <w:rPr>
          <w:spacing w:val="0"/>
          <w:w w:val="100"/>
          <w:position w:val="0"/>
          <w:shd w:val="clear" w:color="auto" w:fill="auto"/>
          <w:lang w:val="ru-RU" w:eastAsia="ru-RU" w:bidi="ru-RU"/>
        </w:rPr>
        <w:t xml:space="preserve">Действителен </w:t>
      </w:r>
      <w:r>
        <w:rPr>
          <w:color w:val="262626"/>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11.07.2024 </w:t>
      </w:r>
      <w:r>
        <w:rPr>
          <w:color w:val="000000"/>
          <w:spacing w:val="0"/>
          <w:w w:val="100"/>
          <w:position w:val="0"/>
          <w:shd w:val="clear" w:color="auto" w:fill="auto"/>
          <w:lang w:val="ru-RU" w:eastAsia="ru-RU" w:bidi="ru-RU"/>
        </w:rPr>
        <w:t xml:space="preserve">по </w:t>
      </w:r>
      <w:r>
        <w:rPr>
          <w:color w:val="7C7C7C"/>
          <w:spacing w:val="0"/>
          <w:w w:val="100"/>
          <w:position w:val="0"/>
          <w:shd w:val="clear" w:color="auto" w:fill="auto"/>
          <w:lang w:val="ru-RU" w:eastAsia="ru-RU" w:bidi="ru-RU"/>
        </w:rPr>
        <w:t>04.10.2025</w:t>
      </w:r>
    </w:p>
    <w:p>
      <w:pPr>
        <w:pStyle w:val="Style2"/>
        <w:keepNext w:val="0"/>
        <w:keepLines w:val="0"/>
        <w:widowControl w:val="0"/>
        <w:shd w:val="clear" w:color="auto" w:fill="auto"/>
        <w:bidi w:val="0"/>
        <w:spacing w:before="0" w:after="660" w:line="240" w:lineRule="auto"/>
        <w:ind w:left="1220" w:right="0" w:firstLine="0"/>
        <w:jc w:val="left"/>
      </w:pPr>
      <w:r>
        <w:drawing>
          <wp:anchor distT="0" distB="0" distL="114300" distR="1903730" simplePos="0" relativeHeight="125829394" behindDoc="0" locked="0" layoutInCell="1" allowOverlap="1">
            <wp:simplePos x="0" y="0"/>
            <wp:positionH relativeFrom="page">
              <wp:posOffset>3074035</wp:posOffset>
            </wp:positionH>
            <wp:positionV relativeFrom="paragraph">
              <wp:posOffset>50800</wp:posOffset>
            </wp:positionV>
            <wp:extent cx="389890" cy="572770"/>
            <wp:wrapSquare wrapText="right"/>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18"/>
                    <a:stretch/>
                  </pic:blipFill>
                  <pic:spPr>
                    <a:xfrm>
                      <a:ext cx="389890" cy="5727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3570605</wp:posOffset>
                </wp:positionH>
                <wp:positionV relativeFrom="paragraph">
                  <wp:posOffset>489585</wp:posOffset>
                </wp:positionV>
                <wp:extent cx="1280160" cy="103505"/>
                <wp:wrapNone/>
                <wp:docPr id="39" name="Shape 39"/>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 xml:space="preserve">О </w:t>
                            </w:r>
                            <w:r>
                              <w:rPr>
                                <w:rFonts w:ascii="Georgia" w:eastAsia="Georgia" w:hAnsi="Georgia" w:cs="Georgia"/>
                                <w:color w:val="E8E8E8"/>
                                <w:spacing w:val="0"/>
                                <w:w w:val="100"/>
                                <w:position w:val="0"/>
                                <w:shd w:val="clear" w:color="auto" w:fill="auto"/>
                                <w:lang w:val="ru-RU" w:eastAsia="ru-RU" w:bidi="ru-RU"/>
                              </w:rPr>
                              <w:t xml:space="preserve">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65" type="#_x0000_t202" style="position:absolute;margin-left:281.15000000000003pt;margin-top:38.550000000000004pt;width:100.8pt;height:8.1500000000000004pt;z-index:251657733;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 xml:space="preserve">О </w:t>
                      </w:r>
                      <w:r>
                        <w:rPr>
                          <w:rFonts w:ascii="Georgia" w:eastAsia="Georgia" w:hAnsi="Georgia" w:cs="Georgia"/>
                          <w:color w:val="E8E8E8"/>
                          <w:spacing w:val="0"/>
                          <w:w w:val="100"/>
                          <w:position w:val="0"/>
                          <w:shd w:val="clear" w:color="auto" w:fill="auto"/>
                          <w:lang w:val="ru-RU" w:eastAsia="ru-RU" w:bidi="ru-RU"/>
                        </w:rPr>
                        <w:t xml:space="preserve">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3524885</wp:posOffset>
                </wp:positionH>
                <wp:positionV relativeFrom="paragraph">
                  <wp:posOffset>179070</wp:posOffset>
                </wp:positionV>
                <wp:extent cx="1725295" cy="255905"/>
                <wp:wrapNone/>
                <wp:docPr id="41" name="Shape 4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7" type="#_x0000_t202" style="position:absolute;margin-left:277.55000000000001pt;margin-top:14.1pt;width:135.84999999999999pt;height:20.150000000000002pt;z-index:251657735;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О.А. Челнова</w:t>
      </w:r>
    </w:p>
    <w:p>
      <w:pPr>
        <w:pStyle w:val="Style28"/>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Челнова Олеся Антоновна</w:t>
      </w:r>
    </w:p>
    <w:p>
      <w:pPr>
        <w:pStyle w:val="Style28"/>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218С2Е7ОЗЕ7Е88445А841АСЕ73Е4Э187</w:t>
      </w:r>
    </w:p>
    <w:p>
      <w:pPr>
        <w:pStyle w:val="Style28"/>
        <w:keepNext w:val="0"/>
        <w:keepLines w:val="0"/>
        <w:widowControl w:val="0"/>
        <w:shd w:val="clear" w:color="auto" w:fill="auto"/>
        <w:bidi w:val="0"/>
        <w:spacing w:before="0" w:after="560" w:line="240" w:lineRule="auto"/>
        <w:ind w:right="0" w:firstLine="0"/>
        <w:jc w:val="left"/>
      </w:pPr>
      <w:r>
        <w:rPr>
          <w:color w:val="000000"/>
          <w:spacing w:val="0"/>
          <w:w w:val="100"/>
          <w:position w:val="0"/>
          <w:shd w:val="clear" w:color="auto" w:fill="auto"/>
          <w:lang w:val="ru-RU" w:eastAsia="ru-RU" w:bidi="ru-RU"/>
        </w:rPr>
        <w:t xml:space="preserve">Действителен с </w:t>
      </w:r>
      <w:r>
        <w:rPr>
          <w:color w:val="262626"/>
          <w:spacing w:val="0"/>
          <w:w w:val="100"/>
          <w:position w:val="0"/>
          <w:shd w:val="clear" w:color="auto" w:fill="auto"/>
          <w:lang w:val="ru-RU" w:eastAsia="ru-RU" w:bidi="ru-RU"/>
        </w:rPr>
        <w:t xml:space="preserve">10.04.2024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04.07.2025</w:t>
      </w:r>
    </w:p>
    <w:p>
      <w:pPr>
        <w:pStyle w:val="Style34"/>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Исп.Гугава Э.З. тел.495-784-75-05 вн.</w:t>
      </w:r>
    </w:p>
    <w:sectPr>
      <w:footnotePr>
        <w:pos w:val="pageBottom"/>
        <w:numFmt w:val="decimal"/>
        <w:numRestart w:val="continuous"/>
      </w:footnotePr>
      <w:type w:val="continuous"/>
      <w:pgSz w:w="11900" w:h="16840"/>
      <w:pgMar w:top="1162" w:right="536"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10217150</wp:posOffset>
              </wp:positionV>
              <wp:extent cx="713105" cy="100330"/>
              <wp:wrapNone/>
              <wp:docPr id="3" name="Shape 3"/>
              <a:graphic xmlns:a="http://schemas.openxmlformats.org/drawingml/2006/main">
                <a:graphicData uri="http://schemas.microsoft.com/office/word/2010/wordprocessingShape">
                  <wps:wsp>
                    <wps:cNvSpPr txBox="1"/>
                    <wps:spPr>
                      <a:xfrm>
                        <a:ext cx="713105"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2024-45921</w:t>
                          </w:r>
                        </w:p>
                      </w:txbxContent>
                    </wps:txbx>
                    <wps:bodyPr wrap="none" lIns="0" tIns="0" rIns="0" bIns="0">
                      <a:spAutoFit/>
                    </wps:bodyPr>
                  </wps:wsp>
                </a:graphicData>
              </a:graphic>
            </wp:anchor>
          </w:drawing>
        </mc:Choice>
        <mc:Fallback>
          <w:pict>
            <v:shape id="_x0000_s1029" type="#_x0000_t202" style="position:absolute;margin-left:57.pt;margin-top:804.5pt;width:56.1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2024-45921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727075</wp:posOffset>
              </wp:positionH>
              <wp:positionV relativeFrom="page">
                <wp:posOffset>10092690</wp:posOffset>
              </wp:positionV>
              <wp:extent cx="719455" cy="100330"/>
              <wp:wrapNone/>
              <wp:docPr id="17" name="Shape 17"/>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2024-45921</w:t>
                          </w:r>
                        </w:p>
                      </w:txbxContent>
                    </wps:txbx>
                    <wps:bodyPr wrap="none" lIns="0" tIns="0" rIns="0" bIns="0">
                      <a:spAutoFit/>
                    </wps:bodyPr>
                  </wps:wsp>
                </a:graphicData>
              </a:graphic>
            </wp:anchor>
          </w:drawing>
        </mc:Choice>
        <mc:Fallback>
          <w:pict>
            <v:shape id="_x0000_s1043" type="#_x0000_t202" style="position:absolute;margin-left:57.25pt;margin-top:794.70000000000005pt;width:56.649999999999999pt;height:7.9000000000000004pt;z-index:-188744057;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2024-45921</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727075</wp:posOffset>
              </wp:positionH>
              <wp:positionV relativeFrom="page">
                <wp:posOffset>10092690</wp:posOffset>
              </wp:positionV>
              <wp:extent cx="719455" cy="100330"/>
              <wp:wrapNone/>
              <wp:docPr id="23" name="Shape 23"/>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2024-45921</w:t>
                          </w:r>
                        </w:p>
                      </w:txbxContent>
                    </wps:txbx>
                    <wps:bodyPr wrap="none" lIns="0" tIns="0" rIns="0" bIns="0">
                      <a:spAutoFit/>
                    </wps:bodyPr>
                  </wps:wsp>
                </a:graphicData>
              </a:graphic>
            </wp:anchor>
          </w:drawing>
        </mc:Choice>
        <mc:Fallback>
          <w:pict>
            <v:shape id="_x0000_s1049" type="#_x0000_t202" style="position:absolute;margin-left:57.25pt;margin-top:794.70000000000005pt;width:56.649999999999999pt;height:7.9000000000000004pt;z-index:-18874405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2024-45921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3924300</wp:posOffset>
              </wp:positionH>
              <wp:positionV relativeFrom="page">
                <wp:posOffset>476250</wp:posOffset>
              </wp:positionV>
              <wp:extent cx="67310" cy="103505"/>
              <wp:wrapNone/>
              <wp:docPr id="13" name="Shape 1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9.pt;margin-top:37.5pt;width:5.2999999999999998pt;height:8.1500000000000004pt;z-index:-18874406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3927475</wp:posOffset>
              </wp:positionH>
              <wp:positionV relativeFrom="page">
                <wp:posOffset>476250</wp:posOffset>
              </wp:positionV>
              <wp:extent cx="64135" cy="103505"/>
              <wp:wrapNone/>
              <wp:docPr id="15" name="Shape 15"/>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09.25pt;margin-top:37.5pt;width:5.0499999999999998pt;height:8.1500000000000004pt;z-index:-18874405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3924300</wp:posOffset>
              </wp:positionH>
              <wp:positionV relativeFrom="page">
                <wp:posOffset>476250</wp:posOffset>
              </wp:positionV>
              <wp:extent cx="67310" cy="103505"/>
              <wp:wrapNone/>
              <wp:docPr id="19" name="Shape 19"/>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5" type="#_x0000_t202" style="position:absolute;margin-left:309.pt;margin-top:37.5pt;width:5.2999999999999998pt;height:8.1500000000000004pt;z-index:-188744055;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3927475</wp:posOffset>
              </wp:positionH>
              <wp:positionV relativeFrom="page">
                <wp:posOffset>476250</wp:posOffset>
              </wp:positionV>
              <wp:extent cx="64135" cy="103505"/>
              <wp:wrapNone/>
              <wp:docPr id="21" name="Shape 21"/>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7" type="#_x0000_t202" style="position:absolute;margin-left:309.25pt;margin-top:37.5pt;width:5.0499999999999998pt;height:8.1500000000000004pt;z-index:-18874405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sz w:val="28"/>
      <w:szCs w:val="28"/>
      <w:u w:val="none"/>
    </w:rPr>
  </w:style>
  <w:style w:type="character" w:customStyle="1" w:styleId="CharStyle5">
    <w:name w:val="Основной текст (3)_"/>
    <w:basedOn w:val="DefaultParagraphFont"/>
    <w:link w:val="Style4"/>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8">
    <w:name w:val="Колонтитул (2)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4"/>
      <w:szCs w:val="34"/>
      <w:u w:val="none"/>
    </w:rPr>
  </w:style>
  <w:style w:type="character" w:customStyle="1" w:styleId="CharStyle21">
    <w:name w:val="Подпись к картинке_"/>
    <w:basedOn w:val="DefaultParagraphFont"/>
    <w:link w:val="Style20"/>
    <w:rPr>
      <w:rFonts w:ascii="Times New Roman" w:eastAsia="Times New Roman" w:hAnsi="Times New Roman" w:cs="Times New Roman"/>
      <w:b w:val="0"/>
      <w:bCs w:val="0"/>
      <w:i w:val="0"/>
      <w:iCs w:val="0"/>
      <w:smallCaps w:val="0"/>
      <w:strike w:val="0"/>
      <w:color w:val="262626"/>
      <w:sz w:val="12"/>
      <w:szCs w:val="12"/>
      <w:u w:val="none"/>
    </w:rPr>
  </w:style>
  <w:style w:type="character" w:customStyle="1" w:styleId="CharStyle26">
    <w:name w:val="Основной текст (4)_"/>
    <w:basedOn w:val="DefaultParagraphFont"/>
    <w:link w:val="Style25"/>
    <w:rPr>
      <w:rFonts w:ascii="Georgia" w:eastAsia="Georgia" w:hAnsi="Georgia" w:cs="Georgia"/>
      <w:b w:val="0"/>
      <w:bCs w:val="0"/>
      <w:i w:val="0"/>
      <w:iCs w:val="0"/>
      <w:smallCaps w:val="0"/>
      <w:strike w:val="0"/>
      <w:color w:val="EBEBEB"/>
      <w:sz w:val="12"/>
      <w:szCs w:val="12"/>
      <w:u w:val="none"/>
    </w:rPr>
  </w:style>
  <w:style w:type="character" w:customStyle="1" w:styleId="CharStyle29">
    <w:name w:val="Основной текст (2)_"/>
    <w:basedOn w:val="DefaultParagraphFont"/>
    <w:link w:val="Style28"/>
    <w:rPr>
      <w:rFonts w:ascii="Arial" w:eastAsia="Arial" w:hAnsi="Arial" w:cs="Arial"/>
      <w:b w:val="0"/>
      <w:bCs w:val="0"/>
      <w:i w:val="0"/>
      <w:iCs w:val="0"/>
      <w:smallCaps w:val="0"/>
      <w:strike w:val="0"/>
      <w:color w:val="606060"/>
      <w:sz w:val="12"/>
      <w:szCs w:val="12"/>
      <w:u w:val="none"/>
    </w:rPr>
  </w:style>
  <w:style w:type="character" w:customStyle="1" w:styleId="CharStyle35">
    <w:name w:val="Основной текст (5)_"/>
    <w:basedOn w:val="DefaultParagraphFont"/>
    <w:link w:val="Style3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4">
    <w:name w:val="Основной текст (3)"/>
    <w:basedOn w:val="Normal"/>
    <w:link w:val="CharStyle5"/>
    <w:pPr>
      <w:widowControl w:val="0"/>
      <w:shd w:val="clear" w:color="auto" w:fill="auto"/>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7">
    <w:name w:val="Колонтитул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Заголовок №2"/>
    <w:basedOn w:val="Normal"/>
    <w:link w:val="CharStyle12"/>
    <w:pPr>
      <w:widowControl w:val="0"/>
      <w:shd w:val="clear" w:color="auto" w:fill="auto"/>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5">
    <w:name w:val="Заголовок №1"/>
    <w:basedOn w:val="Normal"/>
    <w:link w:val="CharStyle16"/>
    <w:pPr>
      <w:widowControl w:val="0"/>
      <w:shd w:val="clear" w:color="auto" w:fill="auto"/>
      <w:spacing w:after="340"/>
      <w:ind w:firstLine="360"/>
      <w:outlineLvl w:val="0"/>
    </w:pPr>
    <w:rPr>
      <w:rFonts w:ascii="Arial" w:eastAsia="Arial" w:hAnsi="Arial" w:cs="Arial"/>
      <w:b w:val="0"/>
      <w:bCs w:val="0"/>
      <w:i w:val="0"/>
      <w:iCs w:val="0"/>
      <w:smallCaps w:val="0"/>
      <w:strike w:val="0"/>
      <w:sz w:val="34"/>
      <w:szCs w:val="34"/>
      <w:u w:val="none"/>
    </w:rPr>
  </w:style>
  <w:style w:type="paragraph" w:customStyle="1" w:styleId="Style20">
    <w:name w:val="Подпись к картинке"/>
    <w:basedOn w:val="Normal"/>
    <w:link w:val="CharStyle21"/>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62626"/>
      <w:sz w:val="12"/>
      <w:szCs w:val="12"/>
      <w:u w:val="none"/>
    </w:rPr>
  </w:style>
  <w:style w:type="paragraph" w:customStyle="1" w:styleId="Style25">
    <w:name w:val="Основной текст (4)"/>
    <w:basedOn w:val="Normal"/>
    <w:link w:val="CharStyle26"/>
    <w:pPr>
      <w:widowControl w:val="0"/>
      <w:shd w:val="clear" w:color="auto" w:fill="auto"/>
      <w:spacing w:after="100"/>
      <w:ind w:left="4520"/>
    </w:pPr>
    <w:rPr>
      <w:rFonts w:ascii="Georgia" w:eastAsia="Georgia" w:hAnsi="Georgia" w:cs="Georgia"/>
      <w:b w:val="0"/>
      <w:bCs w:val="0"/>
      <w:i w:val="0"/>
      <w:iCs w:val="0"/>
      <w:smallCaps w:val="0"/>
      <w:strike w:val="0"/>
      <w:color w:val="EBEBEB"/>
      <w:sz w:val="12"/>
      <w:szCs w:val="12"/>
      <w:u w:val="none"/>
    </w:rPr>
  </w:style>
  <w:style w:type="paragraph" w:customStyle="1" w:styleId="Style28">
    <w:name w:val="Основной текст (2)"/>
    <w:basedOn w:val="Normal"/>
    <w:link w:val="CharStyle29"/>
    <w:pPr>
      <w:widowControl w:val="0"/>
      <w:shd w:val="clear" w:color="auto" w:fill="auto"/>
      <w:ind w:left="3820"/>
    </w:pPr>
    <w:rPr>
      <w:rFonts w:ascii="Arial" w:eastAsia="Arial" w:hAnsi="Arial" w:cs="Arial"/>
      <w:b w:val="0"/>
      <w:bCs w:val="0"/>
      <w:i w:val="0"/>
      <w:iCs w:val="0"/>
      <w:smallCaps w:val="0"/>
      <w:strike w:val="0"/>
      <w:color w:val="606060"/>
      <w:sz w:val="12"/>
      <w:szCs w:val="12"/>
      <w:u w:val="none"/>
    </w:rPr>
  </w:style>
  <w:style w:type="paragraph" w:customStyle="1" w:styleId="Style34">
    <w:name w:val="Основной текст (5)"/>
    <w:basedOn w:val="Normal"/>
    <w:link w:val="CharStyle35"/>
    <w:pPr>
      <w:widowControl w:val="0"/>
      <w:shd w:val="clear" w:color="auto" w:fill="auto"/>
      <w:spacing w:after="6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header" Target="header2.xml"/><Relationship Id="rId9" Type="http://schemas.openxmlformats.org/officeDocument/2006/relationships/footer" Target="footer3.xml"/><Relationship Id="rId10" Type="http://schemas.openxmlformats.org/officeDocument/2006/relationships/header" Target="header3.xml"/><Relationship Id="rId11" Type="http://schemas.openxmlformats.org/officeDocument/2006/relationships/footer" Target="footer4.xml"/><Relationship Id="rId12" Type="http://schemas.openxmlformats.org/officeDocument/2006/relationships/header" Target="header4.xml"/><Relationship Id="rId13" Type="http://schemas.openxmlformats.org/officeDocument/2006/relationships/footer" Target="footer5.xml"/><Relationship Id="rId14" Type="http://schemas.openxmlformats.org/officeDocument/2006/relationships/image" Target="media/image1.jpeg"/><Relationship Id="rId15" Type="http://schemas.openxmlformats.org/officeDocument/2006/relationships/image" Target="media/image1.jpeg" TargetMode="External"/><Relationship Id="rId16" Type="http://schemas.openxmlformats.org/officeDocument/2006/relationships/image" Target="media/image2.jpeg"/><Relationship Id="rId17" Type="http://schemas.openxmlformats.org/officeDocument/2006/relationships/image" Target="media/image2.jpeg" TargetMode="External"/><Relationship Id="rId18" Type="http://schemas.openxmlformats.org/officeDocument/2006/relationships/image" Target="media/image3.jpeg"/><Relationship Id="rId19" Type="http://schemas.openxmlformats.org/officeDocument/2006/relationships/image" Target="media/image3.jpeg" TargetMode="External"/></Relationships>
</file>