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83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Федеральной антимонопольной службы</w:t>
        <w:br/>
        <w:t>по Калужской области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пл. Старый Торг, 5, г. Калуга, 248000</w:t>
        <w:br/>
        <w:t>тел. (4842) 57-65-92, факс (4828) 57-65-92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80" w:line="307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е-тай: 1о40@Га8.§оу.ги</w:t>
      </w:r>
    </w:p>
    <w:p>
      <w:pPr>
        <w:pStyle w:val="Style12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1,10.2024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МЧ/4453/2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4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ФГБУ «НМИЦ радиологии» Минздрава России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2-ой Боткинский проезд, д.3, г.Москва, 125284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до8_хакирИ@птйс.ги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ООО «Карат»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пер. Доблестный, д.8, оф.113, г.Ростов-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на-Дону, Ростовская обл., 344103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ооокага12023@уапдех.ги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ООО «РТС-тендер»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121151, г. Москва, набережная Тараса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Шевченко, д.23-А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63" w:right="661" w:bottom="1231" w:left="1140" w:header="0" w:footer="3" w:gutter="0"/>
          <w:pgNumType w:start="1"/>
          <w:cols w:num="2" w:space="720" w:equalWidth="0">
            <w:col w:w="4258" w:space="1008"/>
            <w:col w:w="4834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ко@г18-1епдег.ги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3" w:after="8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2" w:right="0" w:bottom="118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44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705485</wp:posOffset>
                </wp:positionH>
                <wp:positionV relativeFrom="paragraph">
                  <wp:posOffset>12700</wp:posOffset>
                </wp:positionV>
                <wp:extent cx="652145" cy="23495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5214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Калуга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5.550000000000004pt;margin-top:1.pt;width:51.350000000000001pt;height:18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Калуга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«01» октября 2024 года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Резолютивная часть решения оглашена «26» сентября 2024 года.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полном объеме решение изготовлено «01» октября 2024 года.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для обеспечения государственных и муниципальных нужд Калужского УФАС России в составе: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07" w:val="left"/>
        </w:tabs>
        <w:bidi w:val="0"/>
        <w:spacing w:before="0" w:after="0" w:line="240" w:lineRule="auto"/>
        <w:ind w:left="540" w:right="0" w:firstLine="40"/>
        <w:jc w:val="both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632460</wp:posOffset>
                </wp:positionH>
                <wp:positionV relativeFrom="paragraph">
                  <wp:posOffset>12700</wp:posOffset>
                </wp:positionV>
                <wp:extent cx="1045210" cy="993775"/>
                <wp:wrapSquare wrapText="bothSides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45210" cy="993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Чуриков М.А.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Магер А.А.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Васильев А.А.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9.800000000000004pt;margin-top:1.pt;width:82.299999999999997pt;height:78.25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Чуриков М.А.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Магер А.А.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Васильев А.А.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комиссии, заместитель руководителя - начальник отдела Калужского УФАС России,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12" w:val="left"/>
        </w:tabs>
        <w:bidi w:val="0"/>
        <w:spacing w:before="0" w:after="0" w:line="240" w:lineRule="auto"/>
        <w:ind w:left="540" w:right="0" w:firstLine="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 комиссии, заместитель руководителя Калужского УФАС России,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12" w:val="left"/>
        </w:tabs>
        <w:bidi w:val="0"/>
        <w:spacing w:before="0" w:after="260" w:line="240" w:lineRule="auto"/>
        <w:ind w:left="540" w:right="0" w:firstLine="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 комиссии, главный специалист-эксперт Калужского УФАС России,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посредством видеоконференцсвязи: представителей заказчика - ФГБУ «НМИЦ радиологии» Минздрава России Земляного Е.Ю. (доверенность, паспорт), Губкина И.А. (доверенность, паспорт), представителя заявителя - ООО «Карат» Чижковой И.В. (доверенность, паспорт),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посредством видеоконференцсвязи жалобу №040/06/106-735/2024 ООО «Карат» по существу, установила:</w:t>
      </w:r>
    </w:p>
    <w:p>
      <w:pPr>
        <w:pStyle w:val="Style23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2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22.09.2024г. в адрес Калужского УФАС России поступила жалоба ООО «Карат» на положения извещения при проведении открытого аукциона в электронной форме (номер извещения на официальном сайте 0373100068224000055), предметом которого является поставка медицинских изделий.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полагает, что извещение об осуществлении закупки не соответствует требованиям Закона о контрактной системе.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Изучив представленные документы, с учетом доводов сторон, руководствуясь Законом о контрактной системе, проведя внеплановую проверку в соответствии с пунктом 1 части 15 статьи 99 Закона о контрактной системе, Комиссия Калужского УФАС России приходит к следующему.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94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11.09.2024г. (с последующими изменениями от 17.09.2024г., 19.09.2024г.) в Единой информационной системе в сфере закупок (</w:t>
      </w:r>
      <w:r>
        <w:fldChar w:fldCharType="begin"/>
      </w:r>
      <w:r>
        <w:rPr/>
        <w:instrText> HYPERLINK "http://www.zakupki.gov.ru/"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\у\у\у./акирк1.доу. ги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; далее также официальный сайт) опубликовано извещение №0373100068224000055), предметом которого предметом которого является поставка медицинских изделий (далее - Аукцион).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контракта, согласно извещению о проведении аукциона, составляла 3 500 000,00 рублей.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и время окончания срока подачи заявок: 23.09.2024 08:00.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94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пунктами 1,3 части 2 статьи 42 Федерального закона от 05.04.2013 № 44-ФЗ установлено, что извещение об осуществлении закупки, если иное не предусмотрено настоящим Федеральным законом, должно содержать, в частности, следующие электронные документы: описание объекта закупки в соответствии со статьей 33 настоящего Федерального закона,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1 части 1 статьи 33 Федерального закона от 05.04.2013 № 44-ФЗ установлено, что заказчик при описании в документации о закупке объекта закупки должен руководствоваться следующими правилами: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22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сопровождение такого указания словами "или эквивалент";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13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08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94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продуктов лечебного питания и порядок его формирования утверждаются Правительством Российской Федерации.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2 части 1 статьи 33 Федерального закона от 05.04.2013 №44-ФЗ установлено, что заказчик при описании в документации о закупке объекта закупки также должен руководствоваться следующими правилами: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частью 2 статьи 33 Федерального закона от 05.04.2013 № 44-ФЗ установлено, что документация о закупке в соответствии с требованиями, указанными в части 1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84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доводам жалобы заявителя, заказчиком в Извещении аукциона для позиции 6 Технического задания установлены взаимоисключающие характеристики, которые не соответствуют ни одному производителю.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в ходе рассмотрения жалобы по существу, Комиссия Калужского УФАС России установила следующее.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Законом о контрактной системе не регулируются вопросы, связанные с формированием лота при осуществлении закупок. При описании объекта закупки Заказчику в рамках закона предоставлены полномочия по самостоятельному формированию лота, в наибольшей степени удовлетворяющего его потребности.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 буквального толкования положений Закона о контрактной системе следует, что заказчики, осуществляющие закупку по правилам Закона о контрактной системе, при описании объекта закупки должны таким образом описать требования к закупаемым товарам, работам, услугам, чтобы, с одной стороны, повысить шансы на приобретение товара именно с такими характеристиками, которые ему необходимы, а с другой стороны, не ограничить количество участников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Потребности Заказчика, установившего в Описании объекта закупки Аукциона требования к характеристикам товара, которые ему необходимы для осуществления деятельности, в силу специфики своей деятельности, не могут свидетельствовать о нарушении положений Закона о контрактной системе, поскольку при формировании требований к техническим и функциональным характеристикам приобретаемых товаров Заказчик учитывает необходимость конечного результата - обеспечение лечебного учреждения необходимыми медицинскими товарами для оказания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качественной медицинской помощи гражданам.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письменным пояснениям Заказчика, регистрационным удостоверением №РЗН 2023/21173 от 30.01.2024г., производителя Ковидиен ЛЛС зарегистрировано «Устройство для тонзиллэктомии», совместимое с генератором электрохирургическим Рогсе Тпад. платформой энергетической серии РТ Уа11еу1аЪ РТ10, что подтверждается инструкцией производителя.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Комиссия Калужского УФАС России приходит к выводу о необоснованности доводов жалобы заявителя.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учетом всех изложенных обстоятельств, установленных в ходе рассмотрения жалобы, руководствуясь пунктом 1 части 15 статьи 99, частью 8 статьи 106 Закона о контрактной системе, Комиссия Калужского УФАС России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8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1.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Признать жалобу ООО «Карат»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необоснованной.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частью 9 статьи 106 Закона о контрактной системе решение, принятое по результатам рассмотрения жалобы по существу, может быть обжаловано в судебном порядке в течение трех месяцев с даты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2" w:right="539" w:bottom="1183" w:left="109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08000" distB="362585" distL="0" distR="0" simplePos="0" relativeHeight="125829382" behindDoc="0" locked="0" layoutInCell="1" allowOverlap="1">
                <wp:simplePos x="0" y="0"/>
                <wp:positionH relativeFrom="page">
                  <wp:posOffset>734695</wp:posOffset>
                </wp:positionH>
                <wp:positionV relativeFrom="paragraph">
                  <wp:posOffset>508000</wp:posOffset>
                </wp:positionV>
                <wp:extent cx="1828800" cy="247015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7.850000000000001pt;margin-top:40.pt;width:144.pt;height:19.449999999999999pt;z-index:-125829371;mso-wrap-distance-left:0;mso-wrap-distance-top:40.pt;mso-wrap-distance-right:0;mso-wrap-distance-bottom:28.55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81025" distB="0" distL="0" distR="1786255" simplePos="0" relativeHeight="125829384" behindDoc="0" locked="0" layoutInCell="1" allowOverlap="1">
            <wp:simplePos x="0" y="0"/>
            <wp:positionH relativeFrom="page">
              <wp:posOffset>2658110</wp:posOffset>
            </wp:positionH>
            <wp:positionV relativeFrom="paragraph">
              <wp:posOffset>581025</wp:posOffset>
            </wp:positionV>
            <wp:extent cx="353695" cy="536575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3115310</wp:posOffset>
                </wp:positionH>
                <wp:positionV relativeFrom="paragraph">
                  <wp:posOffset>983615</wp:posOffset>
                </wp:positionV>
                <wp:extent cx="1280160" cy="10033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7E7E7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5.30000000000001pt;margin-top:77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7E7E7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3072765</wp:posOffset>
                </wp:positionH>
                <wp:positionV relativeFrom="paragraph">
                  <wp:posOffset>672465</wp:posOffset>
                </wp:positionV>
                <wp:extent cx="1722120" cy="25590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1.95000000000002pt;margin-top:52.950000000000003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58190" distB="137160" distL="0" distR="0" simplePos="0" relativeHeight="125829385" behindDoc="0" locked="0" layoutInCell="1" allowOverlap="1">
                <wp:simplePos x="0" y="0"/>
                <wp:positionH relativeFrom="page">
                  <wp:posOffset>6096000</wp:posOffset>
                </wp:positionH>
                <wp:positionV relativeFrom="paragraph">
                  <wp:posOffset>758190</wp:posOffset>
                </wp:positionV>
                <wp:extent cx="1088390" cy="22225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8839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М.А. Чуриков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80.pt;margin-top:59.700000000000003pt;width:85.700000000000003pt;height:17.5pt;z-index:-125829368;mso-wrap-distance-left:0;mso-wrap-distance-top:59.700000000000003pt;mso-wrap-distance-right:0;mso-wrap-distance-bottom:10.80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М.А. Чуриков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Чуриков Максим Александрович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45Ю5330В1545АА0Е9В9036319396428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260" w:line="276" w:lineRule="auto"/>
        <w:ind w:right="0" w:firstLine="0"/>
        <w:jc w:val="left"/>
      </w:pP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>23.01.2024 по 17.04.2025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Члены комиссии: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  <w:rPr>
          <w:sz w:val="28"/>
          <w:szCs w:val="28"/>
        </w:rPr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2657475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3114675</wp:posOffset>
                </wp:positionH>
                <wp:positionV relativeFrom="paragraph">
                  <wp:posOffset>466090</wp:posOffset>
                </wp:positionV>
                <wp:extent cx="1283335" cy="1035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7E7E7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5.25pt;margin-top:36.700000000000003pt;width:101.05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7E7E7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3072130</wp:posOffset>
                </wp:positionH>
                <wp:positionV relativeFrom="paragraph">
                  <wp:posOffset>154940</wp:posOffset>
                </wp:positionV>
                <wp:extent cx="1722120" cy="2559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21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1.90000000000001pt;margin-top:12.200000000000001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1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А.А. Магер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Магер Александр Александрович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0825671</w:t>
      </w:r>
      <w:r>
        <w:rPr>
          <w:color w:val="20202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94Е0Е475О761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Е5СЕАСВ63В7ЕЗ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0202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12.02.2024 </w:t>
      </w:r>
      <w:r>
        <w:rPr>
          <w:color w:val="8C8C8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07.05.2025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  <w:rPr>
          <w:sz w:val="28"/>
          <w:szCs w:val="28"/>
        </w:rPr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2657475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3114675</wp:posOffset>
                </wp:positionH>
                <wp:positionV relativeFrom="paragraph">
                  <wp:posOffset>462915</wp:posOffset>
                </wp:positionV>
                <wp:extent cx="1280160" cy="1035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7E7E7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45.25pt;margin-top:36.450000000000003pt;width:100.8pt;height:8.15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7E7E7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3072130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41.90000000000001pt;margin-top:11.950000000000001pt;width:135.59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А.А. Васильев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Васильев Александр Анатольевич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29530Е4О8АОЕ17659А892Е6Е0Е719141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right="0" w:firstLine="0"/>
        <w:jc w:val="left"/>
      </w:pP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17.04.2024 </w:t>
      </w: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>по 11.07.2025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1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10005695</wp:posOffset>
              </wp:positionV>
              <wp:extent cx="64008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00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2024-4833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850000000000001pt;margin-top:787.85000000000002pt;width:50.39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2024-4833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008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00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2024-4833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0.3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2024-4833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5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9"/>
      <w:sz w:val="134"/>
      <w:szCs w:val="134"/>
      <w:u w:val="single"/>
    </w:rPr>
  </w:style>
  <w:style w:type="character" w:customStyle="1" w:styleId="CharStyle5">
    <w:name w:val="Колонтитул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Основной текст (3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9"/>
      <w:sz w:val="16"/>
      <w:szCs w:val="16"/>
      <w:u w:val="none"/>
    </w:rPr>
  </w:style>
  <w:style w:type="character" w:customStyle="1" w:styleId="CharStyle11">
    <w:name w:val="Основной текст (4)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9"/>
      <w:sz w:val="19"/>
      <w:szCs w:val="19"/>
      <w:u w:val="none"/>
    </w:rPr>
  </w:style>
  <w:style w:type="character" w:customStyle="1" w:styleId="CharStyle13">
    <w:name w:val="Заголовок №2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7">
    <w:name w:val="Основной текст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0">
    <w:name w:val="Подпись к картинке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02020"/>
      <w:sz w:val="12"/>
      <w:szCs w:val="12"/>
      <w:u w:val="none"/>
    </w:rPr>
  </w:style>
  <w:style w:type="character" w:customStyle="1" w:styleId="CharStyle24">
    <w:name w:val="Заголовок №1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28">
    <w:name w:val="Основной текст (2)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color w:val="454545"/>
      <w:sz w:val="12"/>
      <w:szCs w:val="12"/>
      <w:u w:val="none"/>
    </w:rPr>
  </w:style>
  <w:style w:type="paragraph" w:customStyle="1" w:styleId="Style2">
    <w:name w:val="Основной текст (5)"/>
    <w:basedOn w:val="Normal"/>
    <w:link w:val="CharStyle3"/>
    <w:pPr>
      <w:widowControl w:val="0"/>
      <w:shd w:val="clear" w:color="auto" w:fill="auto"/>
      <w:spacing w:after="8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9"/>
      <w:sz w:val="134"/>
      <w:szCs w:val="134"/>
      <w:u w:val="single"/>
    </w:rPr>
  </w:style>
  <w:style w:type="paragraph" w:customStyle="1" w:styleId="Style4">
    <w:name w:val="Колонтитул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auto"/>
      <w:spacing w:after="140" w:line="29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9"/>
      <w:sz w:val="16"/>
      <w:szCs w:val="16"/>
      <w:u w:val="none"/>
    </w:rPr>
  </w:style>
  <w:style w:type="paragraph" w:customStyle="1" w:styleId="Style10">
    <w:name w:val="Основной текст (4)"/>
    <w:basedOn w:val="Normal"/>
    <w:link w:val="CharStyle11"/>
    <w:pPr>
      <w:widowControl w:val="0"/>
      <w:shd w:val="clear" w:color="auto" w:fill="auto"/>
      <w:spacing w:line="26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9"/>
      <w:sz w:val="19"/>
      <w:szCs w:val="19"/>
      <w:u w:val="none"/>
    </w:rPr>
  </w:style>
  <w:style w:type="paragraph" w:customStyle="1" w:styleId="Style12">
    <w:name w:val="Заголовок №2"/>
    <w:basedOn w:val="Normal"/>
    <w:link w:val="CharStyle13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6">
    <w:name w:val="Основной текст"/>
    <w:basedOn w:val="Normal"/>
    <w:link w:val="CharStyle1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9">
    <w:name w:val="Подпись к картинке"/>
    <w:basedOn w:val="Normal"/>
    <w:link w:val="CharStyle20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02020"/>
      <w:sz w:val="12"/>
      <w:szCs w:val="12"/>
      <w:u w:val="none"/>
    </w:rPr>
  </w:style>
  <w:style w:type="paragraph" w:customStyle="1" w:styleId="Style23">
    <w:name w:val="Заголовок №1"/>
    <w:basedOn w:val="Normal"/>
    <w:link w:val="CharStyle24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7">
    <w:name w:val="Основной текст (2)"/>
    <w:basedOn w:val="Normal"/>
    <w:link w:val="CharStyle28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54545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