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773" w:h="2885" w:wrap="none" w:hAnchor="page" w:x="1333" w:y="961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773" w:h="2885" w:wrap="none" w:hAnchor="page" w:x="1333" w:y="961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3773" w:h="2885" w:wrap="none" w:hAnchor="page" w:x="1333" w:y="961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3773" w:h="2885" w:wrap="none" w:hAnchor="page" w:x="1333" w:y="96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1о77@Еа8.еоу.п1</w:t>
      </w:r>
    </w:p>
    <w:p>
      <w:pPr>
        <w:pStyle w:val="Style6"/>
        <w:keepNext/>
        <w:keepLines/>
        <w:framePr w:w="3773" w:h="2885" w:wrap="none" w:hAnchor="page" w:x="1333" w:y="961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40362/24</w:t>
      </w:r>
      <w:bookmarkEnd w:id="0"/>
    </w:p>
    <w:p>
      <w:pPr>
        <w:pStyle w:val="Style6"/>
        <w:keepNext/>
        <w:keepLines/>
        <w:framePr w:w="1910" w:h="878" w:wrap="none" w:hAnchor="page" w:x="1141" w:y="3486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01.10,2024</w:t>
      </w:r>
      <w:bookmarkEnd w:id="2"/>
      <w:r>
        <w:fldChar w:fldCharType="end"/>
      </w:r>
    </w:p>
    <w:p>
      <w:pPr>
        <w:pStyle w:val="Style2"/>
        <w:keepNext w:val="0"/>
        <w:keepLines w:val="0"/>
        <w:framePr w:w="1910" w:h="878" w:wrap="none" w:hAnchor="page" w:x="1141" w:y="3486"/>
        <w:widowControl w:val="0"/>
        <w:shd w:val="clear" w:color="auto" w:fill="auto"/>
        <w:tabs>
          <w:tab w:leader="underscore" w:pos="185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</w:t>
        <w:tab/>
      </w:r>
    </w:p>
    <w:p>
      <w:pPr>
        <w:pStyle w:val="Style9"/>
        <w:keepNext w:val="0"/>
        <w:keepLines w:val="0"/>
        <w:framePr w:w="226" w:h="163" w:wrap="none" w:hAnchor="page" w:x="3133" w:y="4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ОТ</w:t>
      </w:r>
    </w:p>
    <w:p>
      <w:pPr>
        <w:pStyle w:val="Style11"/>
        <w:keepNext w:val="0"/>
        <w:keepLines w:val="0"/>
        <w:framePr w:w="4709" w:h="2971" w:wrap="none" w:hAnchor="page" w:x="6406" w:y="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ФГКУ «Специальное управление ФПС № 3 МЧС России»</w:t>
      </w:r>
    </w:p>
    <w:p>
      <w:pPr>
        <w:pStyle w:val="Style11"/>
        <w:keepNext w:val="0"/>
        <w:keepLines w:val="0"/>
        <w:framePr w:w="4709" w:h="297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оеу1&lt;ар@м|3.5().тс11удо\лч1</w:t>
      </w:r>
    </w:p>
    <w:p>
      <w:pPr>
        <w:pStyle w:val="Style11"/>
        <w:keepNext w:val="0"/>
        <w:keepLines w:val="0"/>
        <w:framePr w:w="4709" w:h="2971" w:wrap="none" w:hAnchor="page" w:x="6406" w:y="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1"/>
        <w:keepNext w:val="0"/>
        <w:keepLines w:val="0"/>
        <w:framePr w:w="4709" w:h="297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ооо4еп4ег.Ъгокег77@дтай.сот</w:t>
      </w:r>
    </w:p>
    <w:p>
      <w:pPr>
        <w:pStyle w:val="Style11"/>
        <w:keepNext w:val="0"/>
        <w:keepLines w:val="0"/>
        <w:framePr w:w="4709" w:h="2971" w:wrap="none" w:hAnchor="page" w:x="6406" w:y="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АО «РАД»</w:t>
      </w:r>
    </w:p>
    <w:p>
      <w:pPr>
        <w:pStyle w:val="Style11"/>
        <w:keepNext w:val="0"/>
        <w:keepLines w:val="0"/>
        <w:framePr w:w="4709" w:h="297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т16@аис11оп-Ъои8е.ги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0" w:bottom="9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78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393700</wp:posOffset>
                </wp:positionV>
                <wp:extent cx="1207135" cy="45720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30.09.2024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25pt;margin-top:31.pt;width:95.049999999999997pt;height:36.pt;z-index:-125829375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30.09.2024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№077/06/106-13033/2024 о нарушении</w:t>
        <w:br/>
        <w:t>законодательства о контрактной системе</w:t>
        <w:br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контролю в сфере закупок товаров, работ, услуг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ФГКУ «Специальное управление ФПС № 3 МЧС России»: Е.А. Денисова (по доверенности №92 от 30.09.2024),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«Брокер Групп»,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«Брокер Групп» (далее — Заявитель) на действия ФГКУ «Специальное управление ФПС № 3 МЧС России» (далее — Заказчик) при проведении электронного аукциона на право заключения государственного контракта на выполнение текущего ремонта кровли и служебно-бытовых помещений здания пожарного депо СПСЧ-53 (Закупка №0373100066524000053) (далее — электронный аукцион,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закупочной процедуры в соответствии с позицией 15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 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535" w:bottom="915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Приложения при проведении закупочной процедуры объектом которой являются работы по текущему ремонту зданий, сооружений к участникам закупочной процедуры предъявляются дополнительные требования о наличие у участника закупки опыта выполнения работ: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опыт исполнения договора, предусматривающего выполнение работ по текущему ремонту зданий, сооружений;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 проведении электронного аукциона от 14.09.2024 №0373100066524000053, объектом закупочной процедуры является выполнение работ по текущему ремонту кровли и служебно-бытовых помещений здания пожарного депо СПСЧ-53, при этом начальная (максимальная) цена контракта составляет 7 861 300,00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Заказчика, согласившись с вышеуказанным доводом жалобы, пояснил, что до окончания срока подачи заявок запросов о разъяснении положений извещения 0373100066524000053 не поступало, поскольку Заказчик при запросе разъяснений на положения извещения мог внести изменения в извещение, либо отменить закупку с последующем размещением исправленного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ст.55.24 Градостроительного кодекса Российской Федерации (далее - ГрК РФ) в целях обеспечения безопасности зданий, сооружений процессе их эксплуатации должны обеспечиваться техническое обслуживание зданий, сооружений, эксплуатационный контроль, текущий ремонт зданий, сооружений.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680"/>
        <w:jc w:val="both"/>
        <w:rPr>
          <w:sz w:val="22"/>
          <w:szCs w:val="22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ч.8 ст.55.24 Градостроительного кодекса Российской Федерации техническое обслуживание зданий, сооружений, текущий ремонт зданий,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2024-45738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 и в соответствии с исполнительной документацией.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ч.1 ст.2 Федерального закона от 30.12.2009 № 384-ФЗ «Технический регламент о безопасности зданий и сооружений» (далее — Технический регламент) в том числе определено: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-здание -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-помещение - часть объема здания или сооружения, имеющая определенное назначение и ограниченная строительными конструкциями.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системного анализа вышеуказанных положений, Комиссия Управления приходит к выводу, что в рамках контракта, заключаемого по результатам данной закупочной процедуры, осуществляется текущий ремонт здания.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Заказчику надлежало установить дополнительные требования к участникам закупки в соответствии с п.15 Приложения к Постановлению № 2571.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Заказчика ч.4 ст.31, п.12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</w:t>
        <w:tab/>
        <w:t>ст.7.30 Кодекса Российской Федерации об административных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«Брокер Групп» на действия ФГКУ «Специальное управление ФПС № 3 МЧС России»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ч.4 ст.31, п.12 ч.1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309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35623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63500</wp:posOffset>
                </wp:positionV>
                <wp:extent cx="18503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5.pt;width:145.70000000000002pt;height:19.699999999999999pt;z-index:-125829373;mso-wrap-distance-left:0;mso-wrap-distance-top: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0330" distB="0" distL="0" distR="1789430" simplePos="0" relativeHeight="125829382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100330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539115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15000000000003pt;margin-top:42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225425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7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56235" distL="0" distR="0" simplePos="0" relativeHeight="125829383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63500</wp:posOffset>
                </wp:positionV>
                <wp:extent cx="102997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7.05000000000001pt;margin-top:5.pt;width:81.100000000000009pt;height:19.699999999999999pt;z-index:-125829370;mso-wrap-distance-left:0;mso-wrap-distance-top: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0000000000002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1.10000000000002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5pt;margin-top:11.85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218С2Е7ОЗР7Е88445А841АСЕ73Е4Э187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по 04.07.2025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10151745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2024-45738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9.35000000000002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2024-45738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8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10151745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2024-45738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9.35000000000002pt;width:56.899999999999999pt;height:7.90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2024-45738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44999999999999pt;margin-top:37.5pt;width:4.5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37.5pt;width:4.5499999999999998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44999999999999pt;margin-top:37.5pt;width:4.54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Заголовок №2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0">
    <w:name w:val="Основной текст (5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1"/>
      <w:szCs w:val="11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auto"/>
      <w:spacing w:after="2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1"/>
      <w:szCs w:val="11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1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