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8"/>
        <w:keepNext w:val="0"/>
        <w:keepLines w:val="0"/>
        <w:widowControl w:val="0"/>
        <w:shd w:val="clear" w:color="auto" w:fill="auto"/>
        <w:tabs>
          <w:tab w:leader="underscore" w:pos="1762" w:val="left"/>
          <w:tab w:leader="underscore" w:pos="3926" w:val="left"/>
        </w:tabs>
        <w:bidi w:val="0"/>
        <w:spacing w:before="0" w:after="240" w:line="264" w:lineRule="auto"/>
        <w:ind w:left="0" w:right="0" w:firstLine="0"/>
        <w:jc w:val="both"/>
        <w:rPr>
          <w:sz w:val="18"/>
          <w:szCs w:val="18"/>
        </w:rPr>
      </w:pPr>
      <w:r>
        <w:rPr>
          <w:b w:val="0"/>
          <w:bCs w:val="0"/>
          <w:spacing w:val="0"/>
          <w:w w:val="100"/>
          <w:position w:val="0"/>
          <w:sz w:val="18"/>
          <w:szCs w:val="18"/>
          <w:shd w:val="clear" w:color="auto" w:fill="auto"/>
          <w:lang w:val="ru-RU" w:eastAsia="ru-RU" w:bidi="ru-RU"/>
        </w:rPr>
        <w:tab/>
        <w:t xml:space="preserve"> №</w:t>
        <w:tab/>
      </w:r>
    </w:p>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spacing w:lineRule="exact" w:line="1"/>
        <w:rPr>
          <w:sz w:val="2"/>
          <w:szCs w:val="2"/>
        </w:rPr>
      </w:pPr>
      <w:r>
        <w:br w:type="column"/>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ООО «Максис»</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ул. Троицкая, д.15 стр.1, пом.5Н/4, оф. 7 вн.тер.г. муниципальный округ Мещанский г. Москва, 129090</w:t>
      </w:r>
    </w:p>
    <w:p>
      <w:pPr>
        <w:pStyle w:val="Style13"/>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гедюп13@д1оЬа1дггуе.ш</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ООО «Сибпартнёр»</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пр-кт Лапенкова, д. 5А, пом.2</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г. Ачинск, Красноярский край, 662161</w:t>
      </w:r>
    </w:p>
    <w:p>
      <w:pPr>
        <w:pStyle w:val="Style13"/>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МРК-А@ВК.Ки; яЬр24@таП.ги</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Агентство государственного заказа</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Красноярского края</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пр-т. Мира, д. 10, оф. 53</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г. Красноярск, 660049</w:t>
      </w:r>
    </w:p>
    <w:p>
      <w:pPr>
        <w:pStyle w:val="Style13"/>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адх_рпет@таП.ш; адх 1па81о\@1па11.ги</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МБУ «Центр спортивных клубов «Вектор» Назаровского района</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ул. 30 лет ВЛКСМ, д. 44</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 Степной, Назаровский район, 662217</w:t>
      </w:r>
    </w:p>
    <w:p>
      <w:pPr>
        <w:pStyle w:val="Style13"/>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81ерпоесзкуек1ог@таП.ш</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АО «ЭТП ТЭК-Торг»</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Тимура Фрунзе ул., д. 24, комн. 31 эт. 3</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г. Москва, 119034</w:t>
      </w:r>
    </w:p>
    <w:p>
      <w:pPr>
        <w:pStyle w:val="Style13"/>
        <w:keepNext w:val="0"/>
        <w:keepLines w:val="0"/>
        <w:widowControl w:val="0"/>
        <w:shd w:val="clear" w:color="auto" w:fill="auto"/>
        <w:bidi w:val="0"/>
        <w:spacing w:before="0" w:after="0" w:line="240" w:lineRule="auto"/>
        <w:ind w:left="0" w:right="0" w:firstLine="0"/>
        <w:jc w:val="both"/>
        <w:sectPr>
          <w:footerReference w:type="default" r:id="rId9"/>
          <w:footnotePr>
            <w:pos w:val="pageBottom"/>
            <w:numFmt w:val="decimal"/>
            <w:numRestart w:val="continuous"/>
          </w:footnotePr>
          <w:pgSz w:w="11900" w:h="16840"/>
          <w:pgMar w:top="284" w:right="983" w:bottom="1217" w:left="1140" w:header="0" w:footer="3" w:gutter="0"/>
          <w:pgNumType w:start="1"/>
          <w:cols w:num="2" w:space="720" w:equalWidth="0">
            <w:col w:w="4090" w:space="1176"/>
            <w:col w:w="4512"/>
          </w:cols>
          <w:noEndnote/>
          <w:rtlGutter w:val="0"/>
          <w:docGrid w:linePitch="360"/>
        </w:sectPr>
      </w:pPr>
      <w:r>
        <w:rPr>
          <w:color w:val="000000"/>
          <w:spacing w:val="0"/>
          <w:w w:val="100"/>
          <w:position w:val="0"/>
          <w:sz w:val="24"/>
          <w:szCs w:val="24"/>
          <w:shd w:val="clear" w:color="auto" w:fill="auto"/>
          <w:lang w:val="ru-RU" w:eastAsia="ru-RU" w:bidi="ru-RU"/>
        </w:rPr>
        <w:t>Ье1р@1ек1огд.ш</w:t>
      </w: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4" w:right="0" w:bottom="1217" w:left="0" w:header="0" w:footer="3" w:gutter="0"/>
          <w:cols w:space="720"/>
          <w:noEndnote/>
          <w:rtlGutter w:val="0"/>
          <w:docGrid w:linePitch="360"/>
        </w:sectPr>
      </w:pPr>
    </w:p>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 №024/06/106-2965/2024</w:t>
      </w:r>
    </w:p>
    <w:p>
      <w:pPr>
        <w:pStyle w:val="Style13"/>
        <w:keepNext w:val="0"/>
        <w:keepLines w:val="0"/>
        <w:widowControl w:val="0"/>
        <w:shd w:val="clear" w:color="auto" w:fill="auto"/>
        <w:tabs>
          <w:tab w:pos="8765"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26 сентября 2024 года</w:t>
        <w:tab/>
        <w:t>г. Красноярск</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Председатель Комиссии - М.А. Грицай, начальник отдела, члены Комиссии: Е.А. Шмыгина, заместитель начальника отдела, А.Р. Мулагалеев, ведущий специалист - эксперт (далее — Комиссия), рассмотрев жалобу ООО «Максис» (далее - податель жалобы) на действия аукционной комиссии уполномоченного органа Агентства государственного заказа Красноярского края (далее — аукционная комиссия, уполномоченный орган), заказчика — Муниципального бюджетного учреждения «Центр спортивных клубов «Вектор» Назаровского района (далее — заказчик) при проведении аукциона в электронной форме ЭА-№-14880/24 «Приобретение оборудования и инвентаря для МБУ «Центр спортивных клубов «Вектор» Назаровского района п. Степной, ул. 30 лет ВЛКСМ, д. 44» с извещением № 0119200000124014688 (далее - электронный аукцион), размещенного на электронной площадке АО «ЭТП ТЭК-Торг» (далее - оператор электронной площадки), установила следующее.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Существо жалобы: нарушение аукционной комиссией порядка рассмотрения заявок участников электронного аукциона, а также нарушение заказчиком процедуры заключения контракта по результатам проведения электронного аукциона.</w:t>
      </w:r>
    </w:p>
    <w:p>
      <w:pPr>
        <w:pStyle w:val="Style13"/>
        <w:keepNext w:val="0"/>
        <w:keepLines w:val="0"/>
        <w:widowControl w:val="0"/>
        <w:shd w:val="clear" w:color="auto" w:fill="auto"/>
        <w:bidi w:val="0"/>
        <w:spacing w:before="0" w:after="360" w:line="240" w:lineRule="auto"/>
        <w:ind w:left="0" w:right="0" w:firstLine="600"/>
        <w:jc w:val="both"/>
      </w:pPr>
      <w:r>
        <w:rPr>
          <w:color w:val="000000"/>
          <w:spacing w:val="0"/>
          <w:w w:val="100"/>
          <w:position w:val="0"/>
          <w:sz w:val="24"/>
          <w:szCs w:val="24"/>
          <w:shd w:val="clear" w:color="auto" w:fill="auto"/>
          <w:lang w:val="ru-RU" w:eastAsia="ru-RU" w:bidi="ru-RU"/>
        </w:rPr>
        <w:t>Жалоба подана в Красноярское УФАС России в срок, установленный частью 2 статьи 105</w:t>
      </w:r>
    </w:p>
    <w:p>
      <w:pPr>
        <w:pStyle w:val="Style15"/>
        <w:keepNext/>
        <w:keepLines/>
        <w:widowControl w:val="0"/>
        <w:shd w:val="clear" w:color="auto" w:fill="auto"/>
        <w:bidi w:val="0"/>
        <w:spacing w:before="0" w:line="240" w:lineRule="auto"/>
        <w:ind w:left="0" w:right="0" w:firstLine="0"/>
        <w:jc w:val="left"/>
        <w:sectPr>
          <w:footnotePr>
            <w:pos w:val="pageBottom"/>
            <w:numFmt w:val="decimal"/>
            <w:numRestart w:val="continuous"/>
          </w:footnotePr>
          <w:type w:val="continuous"/>
          <w:pgSz w:w="11900" w:h="16840"/>
          <w:pgMar w:top="284" w:right="546" w:bottom="1217" w:left="1097" w:header="0" w:footer="3" w:gutter="0"/>
          <w:cols w:space="720"/>
          <w:noEndnote/>
          <w:rtlGutter w:val="0"/>
          <w:docGrid w:linePitch="360"/>
        </w:sectPr>
      </w:pPr>
      <w:bookmarkStart w:id="0" w:name="bookmark0"/>
      <w:r>
        <w:rPr>
          <w:color w:val="000000"/>
          <w:spacing w:val="0"/>
          <w:w w:val="100"/>
          <w:position w:val="0"/>
          <w:shd w:val="clear" w:color="auto" w:fill="auto"/>
          <w:lang w:val="ru-RU" w:eastAsia="ru-RU" w:bidi="ru-RU"/>
        </w:rPr>
        <w:t>ПНИ 1111II11111II11111</w:t>
      </w:r>
      <w:bookmarkEnd w:id="0"/>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соответствовала требованиям статьи 105 указанного закона, в связи с чем подлежала принятию к рассмотрению.</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адрес заказчика, аукционной комиссии, уполномоченного органа, подателя жалобы, оператора электронной площадки было направлено уведомление о содержании жалобы с информацией о месте и времени ее рассмотрения (исх. № МД/15468/24 от 23.09.2024) (далее — Уведомление).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Также Уведомление было направлено в адрес ООО «Сибпартнёр» (ИНН 2443052700) - участника закупки, подавшего заявку с идентификационным номером 1, с требованием о представлении документов, подтверждающих страну происхождения товара, предложенного в ходе проведения электронного аукциона.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заседании Комиссии по рассмотрению жалобы по существу лично присутствовал представитель аукционной комиссии, уполномоченного органа, надлежащим образом подтвердивший свою личность и полномочия. Также в указанном заседании Комиссии с использованием средств видео-конференц-связи принял участие представитель подателя жалобы, надлежащим образом подтвердивший свою личность и полномочия. Заказчик, ООО «Сибпартнёр» явку своих представителей на указанное заседание Комиссии не обеспечили, будучи надлежащим образом уведомленными о времени и месте проведения указанного заседания Комиссии, представив письменные возражения и документы в соответствии с Уведомлением.</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 доводов жалобы следует, что, по мнению подателя жалобы, заказчиком неправомерно принято решение о заключении контракта с подателем жалобы по цене, сниженной на 15% в рамках Приказа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 так как сведения, поданные иным участником закупки, продекларировавшим страну происхождения предлагаемого к поставке товара - Российская Федерация, являются недостоверными, поскольку, по сведениям подателя жалобы, лодочные моторы в Российской Федерации и странах ЕАЭС не производятся. Также, по мнению подателя жалобы, если в указанной заявке не были указан товарный знак лодочного мотора, то это тоже свидетельствует о представлении недостоверных сведений, поскольку лодочных моторов без товарных знаков не производится, о чем свидетельствует пункт 4.6.1 ГОСТ 28556-2016.</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 мнению подателя жалобы, в целях установления факта недостоверности сведений о стране происхождения предложенного к поставке товара аукционная комиссия имела возможность проверить и проанализировать сведения, указанные в заявках участников закупки, в том числе, информацию о стране происхождения продукции, являющейся предметом контракта. Не убедившись в достоверности информации, заказчик неправомерно при заключении контракта снизил цену контракта.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Кроме того, податель жалобы сообщил, что 19.09.2024 направил запрос с просьбой о представлении разъяснений информации, содержащейся в протоколе подведения итогов электронного аукциона, и на момент подачи жалобы указанных разъяснений не получил.</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адрес Красноярского УФАС России аукционной комиссией, уполномоченным органом, заказчиком были представлены письменные возражения, сообщающие о том, что при рассмотрении заявок на участие в электронном аукционе, при заключении контракта аукционной комиссией, уполномоченным органом, заказчиком не было допущено нарушений требований законодательства о контрактной системе в сфере закупок. Кроме того, уполномоченный орган пояснил, что своевременно предоставил подателю жалобы разъяснения информации, содержащейся в протоколе подведения итогов электронного аукциона.</w:t>
      </w:r>
    </w:p>
    <w:p>
      <w:pPr>
        <w:pStyle w:val="Style13"/>
        <w:keepNext w:val="0"/>
        <w:keepLines w:val="0"/>
        <w:widowControl w:val="0"/>
        <w:shd w:val="clear" w:color="auto" w:fill="auto"/>
        <w:bidi w:val="0"/>
        <w:spacing w:before="0" w:after="0" w:line="288" w:lineRule="auto"/>
        <w:ind w:left="0" w:right="0" w:firstLine="580"/>
        <w:jc w:val="both"/>
        <w:sectPr>
          <w:footerReference w:type="default" r:id="rId10"/>
          <w:footnotePr>
            <w:pos w:val="pageBottom"/>
            <w:numFmt w:val="decimal"/>
            <w:numRestart w:val="continuous"/>
          </w:footnotePr>
          <w:pgSz w:w="11900" w:h="16840"/>
          <w:pgMar w:top="1119" w:right="546" w:bottom="583" w:left="1106" w:header="691" w:footer="155" w:gutter="0"/>
          <w:cols w:space="720"/>
          <w:noEndnote/>
          <w:rtlGutter w:val="0"/>
          <w:docGrid w:linePitch="360"/>
        </w:sectPr>
      </w:pPr>
      <w:r>
        <w:rPr>
          <w:color w:val="000000"/>
          <w:spacing w:val="0"/>
          <w:w w:val="100"/>
          <w:position w:val="0"/>
          <w:sz w:val="24"/>
          <w:szCs w:val="24"/>
          <w:shd w:val="clear" w:color="auto" w:fill="auto"/>
          <w:lang w:val="ru-RU" w:eastAsia="ru-RU" w:bidi="ru-RU"/>
        </w:rPr>
        <w:t>Также в адрес Красноярского УФАС России ООО «Сибпартнёр» были представлены письменные возражения, сообщающие о том, что им были представлены в составе заявки на участие в электронном аукционе достоверные сведения о стране происхождения товара, предложенного в ходе проведения электронного аукциона, что подтверждается сертификатом 2024-16517</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соответствия № С-Ки.АГ23.В.03985 ТР 1349863 и техническим паспортом и руководством по эксплуатации к товару ООО «Лодочные моторы Урала».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связи с возникшей у заказчика потребностью уполномоченным органом были совершены действия по проведению электронного аукциона с установлением начальной (максимальной) ценя контракта в размере 250 000,00 рублей.</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пункта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Подпунктом «б» пункта 2 части 1 статьи 43 Закона о контрактной системе установлено, что для участия в конкурентном способе заявка на участие в закупке, если иное не предусмотрено Законом о контрактной системе, должна содержать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43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Пунктом 5 части 1 статьи 43 Закона о контрактной системе предусмотрено, что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части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статьи 14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Во исполнение статьи 14 Закона о контрактной системе Приказом №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 1, приложении № 2 к Приказу № 126н.</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анализа положений извещения о проведении электронного аукциона, сформированных с использованием ЕИС путем заполнения экранных форм веб-интерфейса ЕИС (часть 1 статьи 42 Закона о контрактной системе, пункт 3 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27.01.2022 № 60), а также путем прикрепления электронных документов (часть 2 статьи 42 Закона о контрактной системе, пункт 4 вышеуказанного Положения), Комиссия установила, что в соответствии с описанием объекта закупки заказчику требовалась поставка двигателей лодочных подвесных, соответствующих коду ОКПД2 28.11.11.000, который включен в приложение № 1 Приказа № 126н. Таким образом, заказчиком, уполномоченным органом в извещении о проведении электронного аукциона правомерно были установлены условия допуска в соответствии с Приказом № 126н.</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пунктом 1.1 Приказа № 126н при проведении конкурса, аукциона, запроса котировок в электронной форме преимущества в отношении цены контракта в размере 15 процентов в отношении товаров, указанных в приложении № 1, в размере 20 процентов в отношении товаров, указанных в приложении № 2 и закупаемых при реализации национальных проектов (программ), в соответствии с подпунктами 1.2 и 1.3 пункта 1 Приказа № 126н предоставляются участникам закупки, заявки которых признаны соответствующими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 и содержат исключительно предложения о поставке товаров, происходящих из государств - членов Евразийского экономического союза.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подпункта «а» пункта 1.3 Приказа № 126н при проведении аукциона контракт заключается по цене, сниженной на 15 процентов в отношении товаров, указанных в приложении № 1, сниженной на 20 процентов в отношении товаров, указанных в приложении № 2 и закупаемых при реализации национальных проектов (программ), от предложенной победителем аукциона в случае, если заявка такого победителя содержит предложение о поставке товаров, указанных в Приложениях,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Пунктом 2 Приказа № 126н определено, что положения подпунктов 1.1 - 1.3 пункта 1 Приказа № 126н не применяются при проведении конкурса, аукциона, запроса котировок в электронной форме в случаях, если:</w:t>
      </w:r>
    </w:p>
    <w:p>
      <w:pPr>
        <w:pStyle w:val="Style13"/>
        <w:keepNext w:val="0"/>
        <w:keepLines w:val="0"/>
        <w:widowControl w:val="0"/>
        <w:numPr>
          <w:ilvl w:val="0"/>
          <w:numId w:val="1"/>
        </w:numPr>
        <w:shd w:val="clear" w:color="auto" w:fill="auto"/>
        <w:tabs>
          <w:tab w:pos="87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конкурс, аукцион, запрос котировок в электронной форме признается не состоявшимся в случаях, предусмотренных Законом о контрактной системе;</w:t>
      </w:r>
    </w:p>
    <w:p>
      <w:pPr>
        <w:pStyle w:val="Style13"/>
        <w:keepNext w:val="0"/>
        <w:keepLines w:val="0"/>
        <w:widowControl w:val="0"/>
        <w:numPr>
          <w:ilvl w:val="0"/>
          <w:numId w:val="1"/>
        </w:numPr>
        <w:shd w:val="clear" w:color="auto" w:fill="auto"/>
        <w:tabs>
          <w:tab w:pos="89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все заявки участников закупки, признанные в порядке, предусмотренном Законом о контрактной системе, соответствующими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 содержат предложения о поставке товаров, указанных в Приложениях и происходящих исключительно из государств - членов Евразийского экономического союза;</w:t>
      </w:r>
    </w:p>
    <w:p>
      <w:pPr>
        <w:pStyle w:val="Style13"/>
        <w:keepNext w:val="0"/>
        <w:keepLines w:val="0"/>
        <w:widowControl w:val="0"/>
        <w:numPr>
          <w:ilvl w:val="0"/>
          <w:numId w:val="1"/>
        </w:numPr>
        <w:shd w:val="clear" w:color="auto" w:fill="auto"/>
        <w:tabs>
          <w:tab w:pos="88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все заявки участников закупки, признанные в порядке, предусмотренном Законом о контрактной системе, соответствующими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 содержат предложение о поставке указанных в Приложениях товаров,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pPr>
        <w:pStyle w:val="Style13"/>
        <w:keepNext w:val="0"/>
        <w:keepLines w:val="0"/>
        <w:widowControl w:val="0"/>
        <w:numPr>
          <w:ilvl w:val="0"/>
          <w:numId w:val="1"/>
        </w:numPr>
        <w:shd w:val="clear" w:color="auto" w:fill="auto"/>
        <w:tabs>
          <w:tab w:pos="1420" w:val="left"/>
        </w:tabs>
        <w:bidi w:val="0"/>
        <w:spacing w:before="0" w:after="0" w:line="240" w:lineRule="auto"/>
        <w:ind w:left="0" w:right="0" w:firstLine="580"/>
        <w:jc w:val="both"/>
        <w:sectPr>
          <w:footerReference w:type="default" r:id="rId11"/>
          <w:footnotePr>
            <w:pos w:val="pageBottom"/>
            <w:numFmt w:val="decimal"/>
            <w:numRestart w:val="continuous"/>
          </w:footnotePr>
          <w:pgSz w:w="11900" w:h="16840"/>
          <w:pgMar w:top="1119" w:right="542" w:bottom="1154" w:left="1105" w:header="691" w:footer="3" w:gutter="0"/>
          <w:cols w:space="720"/>
          <w:noEndnote/>
          <w:rtlGutter w:val="0"/>
          <w:docGrid w:linePitch="360"/>
        </w:sectPr>
      </w:pPr>
      <w:r>
        <w:rPr>
          <w:color w:val="000000"/>
          <w:spacing w:val="0"/>
          <w:w w:val="100"/>
          <w:position w:val="0"/>
          <w:sz w:val="24"/>
          <w:szCs w:val="24"/>
          <w:shd w:val="clear" w:color="auto" w:fill="auto"/>
          <w:lang w:val="ru-RU" w:eastAsia="ru-RU" w:bidi="ru-RU"/>
        </w:rPr>
        <w:t>в отношении товаров, указанных в Приложениях,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установлен запрет в соответствии с частью 3 статьи 14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подпунктом 1.6 Приказа № 126н подтверждением страны происхождения товаров, указанных в прилагаемых к Приказу № 126н перечнях, является указание (декларирование) участником закупки в заявке наименования страны происхождения товара.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Комиссией установлено, что вышеуказанное требование содержится в электронном документе «Требования к содержанию, составу заявки на участие в электронном аукционе» извещения о проведении электронного аукциона.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Кроме того, во исполнение требований части 1 статьи 49, подпункта «а» пункта 2 части 1 статьи 43 Закона о контрактной системе рассматриваемый электронный документ извещения о проведении электронного аукциона содержал требование о представлении участником закупки характеристик предлагаемого им к поставке товара, соответствующие показателям, установленным в описании объекта закупки в соответствии с частью 2 статьи 33 Закона о контрактной системе, товарный знак (при наличии у товара товарного знака).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Проанализировав содержание заявок, поданных на участие в электронном аукционе, представленных оператором электронной площадки в адрес Красноярского УФАС России, Комиссия установила, что на участие в электронном аукционе было подано 3 (три) заявки, в которых:</w:t>
      </w:r>
    </w:p>
    <w:p>
      <w:pPr>
        <w:pStyle w:val="Style13"/>
        <w:keepNext w:val="0"/>
        <w:keepLines w:val="0"/>
        <w:widowControl w:val="0"/>
        <w:numPr>
          <w:ilvl w:val="0"/>
          <w:numId w:val="3"/>
        </w:numPr>
        <w:shd w:val="clear" w:color="auto" w:fill="auto"/>
        <w:tabs>
          <w:tab w:pos="823"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участники закупки с идентификационными номерами заявок 2, 3 продекларировали в составе заявок все предлагаемые к поставке товары, происходящие из Китайской Народной Республики;</w:t>
      </w:r>
    </w:p>
    <w:p>
      <w:pPr>
        <w:pStyle w:val="Style13"/>
        <w:keepNext w:val="0"/>
        <w:keepLines w:val="0"/>
        <w:widowControl w:val="0"/>
        <w:numPr>
          <w:ilvl w:val="0"/>
          <w:numId w:val="3"/>
        </w:numPr>
        <w:shd w:val="clear" w:color="auto" w:fill="auto"/>
        <w:tabs>
          <w:tab w:pos="823"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участник закупки ООО «Сибпартнёр» (ИНН 2443052700) с идентификационным номером заявки 1 продекларировал в составе заявки все предлагаемые к поставе товары, происходящие из Российской Федерации. Кроме того, указанным участником закупки были сообщены сведения о том, что у предложенного им к поставке товара отсутствует товарный знак.</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3"/>
        <w:keepNext w:val="0"/>
        <w:keepLines w:val="0"/>
        <w:widowControl w:val="0"/>
        <w:numPr>
          <w:ilvl w:val="0"/>
          <w:numId w:val="5"/>
        </w:numPr>
        <w:shd w:val="clear" w:color="auto" w:fill="auto"/>
        <w:tabs>
          <w:tab w:pos="883"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члены комиссии по осуществлению закупок:</w:t>
      </w:r>
    </w:p>
    <w:p>
      <w:pPr>
        <w:pStyle w:val="Style13"/>
        <w:keepNext w:val="0"/>
        <w:keepLines w:val="0"/>
        <w:widowControl w:val="0"/>
        <w:numPr>
          <w:ilvl w:val="0"/>
          <w:numId w:val="7"/>
        </w:numPr>
        <w:shd w:val="clear" w:color="auto" w:fill="auto"/>
        <w:tabs>
          <w:tab w:pos="88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13"/>
        <w:keepNext w:val="0"/>
        <w:keepLines w:val="0"/>
        <w:widowControl w:val="0"/>
        <w:numPr>
          <w:ilvl w:val="0"/>
          <w:numId w:val="7"/>
        </w:numPr>
        <w:shd w:val="clear" w:color="auto" w:fill="auto"/>
        <w:tabs>
          <w:tab w:pos="89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pPr>
        <w:pStyle w:val="Style13"/>
        <w:keepNext w:val="0"/>
        <w:keepLines w:val="0"/>
        <w:widowControl w:val="0"/>
        <w:numPr>
          <w:ilvl w:val="0"/>
          <w:numId w:val="5"/>
        </w:numPr>
        <w:shd w:val="clear" w:color="auto" w:fill="auto"/>
        <w:tabs>
          <w:tab w:pos="898" w:val="left"/>
        </w:tabs>
        <w:bidi w:val="0"/>
        <w:spacing w:before="0" w:after="0" w:line="276" w:lineRule="auto"/>
        <w:ind w:left="0" w:right="0" w:firstLine="580"/>
        <w:jc w:val="both"/>
        <w:sectPr>
          <w:footerReference w:type="default" r:id="rId12"/>
          <w:footnotePr>
            <w:pos w:val="pageBottom"/>
            <w:numFmt w:val="decimal"/>
            <w:numRestart w:val="continuous"/>
          </w:footnotePr>
          <w:pgSz w:w="11900" w:h="16840"/>
          <w:pgMar w:top="1119" w:right="546" w:bottom="597" w:left="1106" w:header="691" w:footer="169" w:gutter="0"/>
          <w:cols w:space="720"/>
          <w:noEndnote/>
          <w:rtlGutter w:val="0"/>
          <w:docGrid w:linePitch="360"/>
        </w:sectPr>
      </w:pPr>
      <w:r>
        <w:rPr>
          <w:color w:val="000000"/>
          <w:spacing w:val="0"/>
          <w:w w:val="100"/>
          <w:position w:val="0"/>
          <w:sz w:val="24"/>
          <w:szCs w:val="24"/>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2024-16517</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имеющего право действовать от имени заказчика, и направляет оператору электронной площадки.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18.09.2024 №ИЭА1 аукционной комиссией были рассмотрены и признаны соответствующими требованиям, установленным в извещении о проведении электронного аукциона, все заявки, поданные на участие в закупке.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части 5 статьи 24 Закона о контрактной системе победителем электронного аукциона признан участник закупки с идентификационным номером заявки 3 (податель жалобы), заявка которого содержала предложение о поставке товаров иностранного происхождения (Китайская Народная Республика).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этом участник с идентификационным номером заявки 1 предложил к поставке товары с указанием характеристик, предусмотренных в извещении о проведении электронного аукциона, указав страну происхождения товаров - Российская Федерация.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контракт с победителем аукциона — подателем жалобы, предложившим в заявке к поставке товары иностранного происхождения, должен быть заключен по цене, сниженной на 15% от предложенной подателем жалобы.</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подпункта «б» пункта 1 части 2 статьи 51 Закона о контрактной системе не позднее двух рабочих дней, следующих за днем размещения в единой информационной системе протоколов, указанных в части 1 статьи 51 Закона о контрактной системе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Закона о контрактной системе, который должен содержать цену контракта, соответствующую цене контракта, предложенной в соответствии с Законом о контрактной системе участником закупки, с которым заключается контракт, с учетом положений нормативных правовых актов, принятых в соответствии со статьей 14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Поскольку подателем жалобы в ходе проведения электронного аукциона была предложена цена исполнения контракта в размере 233 750 руб. (двести тридцать три тысячи семьсот пятьдесят рублей), что подтверждается протоколом подачи ценовых предложений от 18.09.2024 №ЦПА1, то заказчиком в единой информационной системе 20.09.2024 был размещен проект контракта с ценой контракта, предложенной в соответствии с Законом о контрактной системе подателем жалобы, с учетом положений подпункта «а» пункта 1.3 Приказа № 126н.</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отношении доводов подателя жалобы о предоставлении недостоверных сведений одним из участников закупки о поставке всех товаров, страна происхождения которых Российская Федерация, и обязанности проведения аукционной комиссией, заказчиком дополнительных проверочных мероприятий с целью подтверждения достоверности страны происхождения предложенных к поставке товаров, Комиссия полагает необходимым отметить следующее.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Требования к содержанию заявки на участие в закупке предусмотрены частями 1, 2 статьи 43 Закона о контрактной системе, при этом перечень указанных требований является исчерпывающим в силу части 3 статьи 43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подпункту «б» пункта 2 части 1 статьи 43 Закона о контрактной системе, пункту 1.6 Приказа № 126н подтверждением страны происхождения товаров является указание (декларирование) участником закупки в заявке наименования страны происхождения товара.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Положения Приказа № 126н, равно как и требования действующего законодательства о контрактной системе в сфере закупок не обязывают участника закупки предоставлять какие-либо документы, подтверждающие страну происхождения предложенного к поставке товара, при проведении конкурентной процедуры с установлением условий допуска в соответствии с Приказом № 126н.</w:t>
      </w:r>
    </w:p>
    <w:p>
      <w:pPr>
        <w:pStyle w:val="Style13"/>
        <w:keepNext w:val="0"/>
        <w:keepLines w:val="0"/>
        <w:widowControl w:val="0"/>
        <w:shd w:val="clear" w:color="auto" w:fill="auto"/>
        <w:bidi w:val="0"/>
        <w:spacing w:before="0" w:after="0" w:line="240" w:lineRule="auto"/>
        <w:ind w:left="0" w:right="0" w:firstLine="580"/>
        <w:jc w:val="both"/>
        <w:sectPr>
          <w:footerReference w:type="default" r:id="rId13"/>
          <w:footnotePr>
            <w:pos w:val="pageBottom"/>
            <w:numFmt w:val="decimal"/>
            <w:numRestart w:val="continuous"/>
          </w:footnotePr>
          <w:pgSz w:w="11900" w:h="16840"/>
          <w:pgMar w:top="1119" w:right="546" w:bottom="1111" w:left="1106" w:header="691" w:footer="3" w:gutter="0"/>
          <w:cols w:space="720"/>
          <w:noEndnote/>
          <w:rtlGutter w:val="0"/>
          <w:docGrid w:linePitch="360"/>
        </w:sectPr>
      </w:pPr>
      <w:r>
        <w:rPr>
          <w:color w:val="000000"/>
          <w:spacing w:val="0"/>
          <w:w w:val="100"/>
          <w:position w:val="0"/>
          <w:sz w:val="24"/>
          <w:szCs w:val="24"/>
          <w:shd w:val="clear" w:color="auto" w:fill="auto"/>
          <w:lang w:val="ru-RU" w:eastAsia="ru-RU" w:bidi="ru-RU"/>
        </w:rPr>
        <w:t>При этом, вопреки утверждению подателя жалобы об обратном, аукционная комиссия не обладает полномочиями направлять запросы участникам закупки с целью получения от них дополнительных документов, подтверждающих страну происхождения товара при проведении процедуры определения поставщика (подрядчика, исполнителя), что прямо противоречит части 1 статьи 46 Закона о контрактной системе. Кроме того, аукционной комиссии не вменена</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законодательная обязанность при проведении конкурентной процедуры с установлением условий допуска в соответствии с Приказом № 126н в рамках рассмотрения заявок, поданных на участие в такой процедуре, осуществлять дополнительные проверочные мероприятий в целях установления степени достоверности страны происхождения предложенных участниками закупки к поставке товаров в поданных ими заявках. Заказчику также не вменена законодательная обязанность при проведении процедуры заключения контракта по результатам закупки с установлением условий допуска в соответствии с Приказом № 126н осуществлять дополнительные проверочные мероприятий в целях установления степени достоверности страны происхождения предложенных участниками закупки к поставке товаров в поданных ими заявках.</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таких обстоятельствах, основания не доверять информации, представленной участником закупки с идентификационным номером заявки 1, у аукционной комиссии на момент рассмотрения заявок на предмет соответствия требованиям извещения о проведении электронного аукциона не имелись. Равно такие основания не имелись и у заказчика при проведении процедуры заключения контракта по результатам проведения электронного аукциона.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Указанные выводы Комиссии относительно полномочий аукционной комиссии находят свое подтверждение в судебной практике по делам №№ А05-6096/2022, А58-4915/2023, А33-4002/2023, А33-549/2024.</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 моменту проведения заседания Комиссии по рассмотрению жалобы по существу ООО «Сибпартнёр» - участник закупки, подавший заявку с идентификационным номером 1, в материалы внеплановой проверки представил письменные пояснения, согласно которым им планировался к поставке лодочный мотор отечественного производства ООО «Лодочные моторы Урала». При этом, на данный момент, по сведениям ООО «Сибпартнёр», завод указанные моторы не производит, но товар, соответствующий описанию объекта закупки, находится в свободном обороте и его возможно приобрести в целях исполнения условий контракта. При этом, ООО «Сибпартнёр» отмечает, что в извещении о проведении электронного аукциона отсутствует условие о годе выпуска приобретаемого товара, следовательно, поставляемые лодочные моторы могут быть и 2012 года выпуска и 2020 года выпуска.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Указанные обстоятельства ООО «Сибпартнёр» подтвердил, представив в материалы внеплановой проверки сертификат соответствия № С-Ки.АГ23.В.03985 ТР 1349863 и технический паспорт и руководство по эксплуатации к предложенному им товару.</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Проанализировав содержание указанных документов, Комиссия установила, что их содержание однозначно не свидетельствует о том обстоятельстве, что у предложенного к поставке товара в заявке с идентификационным номером 1 имеется товарный знак, учитывая обстоятельство того, что в силу пункта 1 статьи 1477 ГК РФ товарный знак предполагает его надлежащим образом оформленное удостоверение.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отношении вышеуказанных обстоятельств Комиссии к моменту проведения заседания по рассмотрению жалобы по существу в материалы проверки не было представлено доказательств обратного.</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Кроме того, заявляя довод о том, что в случае отсутствия в заявке указания на товарный знак лодочного мотора, это свидетельствует о представлении недостоверных сведений, поскольку лодочных моторов без товарных знаков не производится, о чем свидетельствует пункт 4.6.1 ГОСТ 28556-2016 «Межгосударственный стандарт. Моторы лодочные подвесные. Общие требования безопасности», податель жалобы не учитывает того, что в указанном пункте межгосударственного стандарта отсутствует указание на необходимость наличия на табличке изготовителя информации именно о товарном знаке, при этом наличие упоминания о модели, модификации мотора не является по своему правовому содержанию тождественным необходимости указания на товарный знак мотора.</w:t>
      </w:r>
    </w:p>
    <w:p>
      <w:pPr>
        <w:pStyle w:val="Style13"/>
        <w:keepNext w:val="0"/>
        <w:keepLines w:val="0"/>
        <w:widowControl w:val="0"/>
        <w:shd w:val="clear" w:color="auto" w:fill="auto"/>
        <w:bidi w:val="0"/>
        <w:spacing w:before="0" w:after="0" w:line="276" w:lineRule="auto"/>
        <w:ind w:left="0" w:right="0" w:firstLine="580"/>
        <w:jc w:val="both"/>
      </w:pPr>
      <w:r>
        <w:rPr>
          <w:color w:val="000000"/>
          <w:spacing w:val="0"/>
          <w:w w:val="100"/>
          <w:position w:val="0"/>
          <w:sz w:val="24"/>
          <w:szCs w:val="24"/>
          <w:shd w:val="clear" w:color="auto" w:fill="auto"/>
          <w:lang w:val="ru-RU" w:eastAsia="ru-RU" w:bidi="ru-RU"/>
        </w:rPr>
        <w:t>С учетом позиции Верховного Суда Российской Федерации, отраженной в Определении от 17.06.2020 № 310-ЭС19-26526, недостоверной информацией следует считать информацию, не соответствующую действительности, предоставленной с обманом и умыслом, направленным на победу в торгах за счет представления ложной информации. При этом, из представленных в материалы проверки документов с очевидностью не усматривается, что ООО «Сибпартнёр» как 2024-16517</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участник закупки представил в составе заявки какую-либо недостоверную информацию в отношении предложенного им к поставке товара.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свою очередь, заявляя доводы о том, что лодочные моторы в Российской Федерации и странах ЕАЭС не производятся, а также о том, что лодочные моторы без товарных знаков не производится, податель жалобы не представил документальных доказательств, подтверждающих указанные обстоятельства, с учетом того обстоятельства, что участник закупки ООО «Сибпартнёр» с идентификационным номером заявки 1, продекларировавший в составе заявки сведения о стране происхождения всех предлагаемых к поставе товаров — Российская Федерация, к моменту проведения заседания Комиссии по рассмотрению жалобы по существу документально подтвердил представленные им сведения о стране происхождения товара.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Проанализировав совокупность положений извещения о проведении электронного аукциона, содержания заявок, поданных на участие в электронном аукционе, протокола подведения итогов определения поставщика (подрядчика, исполнителя) от 18.09.2024 №ИЭА1, Комиссия пришла к выводу о том, что при рассмотрении заявок на участие в электронном аукционе аукционной комиссией не было допущено нарушений требований Закона о контрактной системе, поскольку у аукционной комиссии отсутствовали основания для признания сведений о стране происхождения товара, представленных участником закупки с идентификационным номером заявки 1 во исполнение Приказа № 126н, недостоверными, равно такие основания отсутствовали и в отношении представленных сведений об отсутствии у предложенного к поставке товара товарного знака.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Более того, для отстранения участника закупки на основании положения пункта 8 части 12 статьи 48 Закона о контратакой системе недостоверность соответствующей информации должна быть подтверждена надлежащим образом. Аналогичная по своему правовому содержанию позиция зафиксирована в письме ФАС России от 20.08.2021№ ПИ/69938/21.</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Поскольку предусмотренные пунктом 2 Приказа № 126н случаи для не применения при проведении электронного аукциона положений подпунктов 1.1 - 1.3 пункта 1 Приказа № 126н не наступили, то заказчиком правомерно был сформирован с использованием единой информационной системы без своей подписи проект контракта, указанный в пункте 5 части 2 статьи 42 Закона о контрактной системе, с ценой контракта, соответствующую цене контракта, предложенной в соответствии с Законом о контрактной системе участником закупки, с которым заключается контракт, с учетом положений подпункта «а» пункта 1.3 Приказа № 126н.</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Решение Арбитражного суда Ямало-Ненецкого автономного округа от 29.08.2022, Постановление Восьмого арбитражного апелляционного суда от 22.11.2022 по делу № А81-7978/2022, решение Арбитражного суда Ямало-Ненецкого автономного округа от 30.01.2023 по делу № А81-11985/2022, а также иная практика, на которую ссылается податель жалобы, не может быть принята во внимание Комиссией, поскольку в рамках рассмотрения указанных дел оценивались обстоятельства, отличные от обстоятельств рассматриваемой жалобы.</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доводы подателя жалобы об обратном не находят своего подтверждения при рассмотрении жалобы по существу.</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отношении довода подателя жалобы о том, что им не был получен ответ на его запрос от 19.09.2024 с просьбой о представлении разъяснений информации, содержащейся в протоколе подведения итогов электронного аукциона, Комиссия сообщает следующее.</w:t>
      </w:r>
    </w:p>
    <w:p>
      <w:pPr>
        <w:pStyle w:val="Style13"/>
        <w:keepNext w:val="0"/>
        <w:keepLines w:val="0"/>
        <w:widowControl w:val="0"/>
        <w:shd w:val="clear" w:color="auto" w:fill="auto"/>
        <w:bidi w:val="0"/>
        <w:spacing w:before="0" w:after="0" w:line="259" w:lineRule="auto"/>
        <w:ind w:left="0" w:right="0" w:firstLine="580"/>
        <w:jc w:val="both"/>
        <w:sectPr>
          <w:footerReference w:type="default" r:id="rId14"/>
          <w:footnotePr>
            <w:pos w:val="pageBottom"/>
            <w:numFmt w:val="decimal"/>
            <w:numRestart w:val="continuous"/>
          </w:footnotePr>
          <w:pgSz w:w="11900" w:h="16840"/>
          <w:pgMar w:top="1119" w:right="541" w:bottom="597" w:left="1106" w:header="691" w:footer="169" w:gutter="0"/>
          <w:cols w:space="720"/>
          <w:noEndnote/>
          <w:rtlGutter w:val="0"/>
          <w:docGrid w:linePitch="360"/>
        </w:sectPr>
      </w:pPr>
      <w:r>
        <w:rPr>
          <w:color w:val="000000"/>
          <w:spacing w:val="0"/>
          <w:w w:val="100"/>
          <w:position w:val="0"/>
          <w:sz w:val="24"/>
          <w:szCs w:val="24"/>
          <w:shd w:val="clear" w:color="auto" w:fill="auto"/>
          <w:lang w:val="ru-RU" w:eastAsia="ru-RU" w:bidi="ru-RU"/>
        </w:rPr>
        <w:t>Из части 8 статьи 49, части 18 статьи 48 Закона о контрактной системе следует, что участник закупки, принимавший участие в закупке, после размещения в ЕИС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рабочих дней, следующих за днем поступления заказчику запроса о даче разъяснений информации, содержащейся в протоколе подведения итогов определения поставщика (подрядчика, исполнителя), заказчик направляет соответствующие разъяснения оператору электронной 2024-16517</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площадки.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 направившему запрос о даче разъяснений информации, содержащейся в протоколе подведения итогов определения поставщика (подрядчика, исполнителя).</w:t>
      </w:r>
    </w:p>
    <w:p>
      <w:pPr>
        <w:pStyle w:val="Style13"/>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На основании исследования совокупности сведений скриншотов, представленных в материалы внеплановой проверки со стороны подателя жалобы и уполномоченного органа, относительно процедуры предоставления разъяснений информации, содержащейся в протоколе подведения итогов определения поставщика (подрядчика, исполнителя), Комиссия установила, что запрос о представлении указанных разъяснений был направлен подателем жалобы 19.09.2024, следовательно, в срок не позднее 23.09.2024 такие разъяснения подлежали представлению, что и было фактически выполнено уполномоченным органом, поскольку уполномоченный орган 23.09.2024 направил соответствующие разъяснения оператору электронной площадки.</w:t>
      </w:r>
    </w:p>
    <w:p>
      <w:pPr>
        <w:pStyle w:val="Style13"/>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Таким образом, в рассматриваемой части довод подателя жалобы признается Комиссией необоснованным.</w:t>
      </w:r>
    </w:p>
    <w:p>
      <w:pPr>
        <w:pStyle w:val="Style13"/>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В случае, если податель жалобы обладает доказательствами, свидетельствующими о наличии признаков нарушения Федерального закона от 26.07.2006 № 135-ФЗ «О защите конкуренции» (далее - Закон о защите конкуренции) в действиях участников закупок, в том числе по предоставлению недостоверных сведений при осуществлении закупочных процедур, обращения (заявления) о нарушении антимонопольного законодательства при осуществлении закупочных процедур подлежат направлению и рассмотрению в соответствии с требованиями, установленными статьей 44 Закона о защите конкуренции.</w:t>
      </w:r>
    </w:p>
    <w:p>
      <w:pPr>
        <w:pStyle w:val="Style13"/>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частью 8 статьи 106 Закона о контрактной системе Комиссия Красноярского УФАС России решила признать жалобу ООО «Максис» необоснованной.</w:t>
      </w:r>
    </w:p>
    <w:p>
      <w:pPr>
        <w:pStyle w:val="Style13"/>
        <w:keepNext w:val="0"/>
        <w:keepLines w:val="0"/>
        <w:widowControl w:val="0"/>
        <w:shd w:val="clear" w:color="auto" w:fill="auto"/>
        <w:bidi w:val="0"/>
        <w:spacing w:before="0" w:after="240" w:line="240" w:lineRule="auto"/>
        <w:ind w:left="0" w:right="0" w:firstLine="620"/>
        <w:jc w:val="both"/>
      </w:pPr>
      <w:r>
        <w:rPr>
          <w:color w:val="000000"/>
          <w:spacing w:val="0"/>
          <w:w w:val="100"/>
          <w:position w:val="0"/>
          <w:sz w:val="24"/>
          <w:szCs w:val="24"/>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13"/>
        <w:keepNext w:val="0"/>
        <w:keepLines w:val="0"/>
        <w:widowControl w:val="0"/>
        <w:shd w:val="clear" w:color="auto" w:fill="auto"/>
        <w:tabs>
          <w:tab w:pos="8894" w:val="left"/>
        </w:tabs>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Председатель Комиссии</w:t>
        <w:tab/>
        <w:t>М.А. Грицай</w:t>
      </w:r>
    </w:p>
    <w:p>
      <w:pPr>
        <w:pStyle w:val="Style13"/>
        <w:keepNext w:val="0"/>
        <w:keepLines w:val="0"/>
        <w:widowControl w:val="0"/>
        <w:shd w:val="clear" w:color="auto" w:fill="auto"/>
        <w:tabs>
          <w:tab w:pos="8673" w:val="left"/>
        </w:tabs>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Члены Комиссии</w:t>
        <w:tab/>
        <w:t>Е.А. Шмыгина</w:t>
      </w:r>
    </w:p>
    <w:p>
      <w:pPr>
        <w:pStyle w:val="Style13"/>
        <w:keepNext w:val="0"/>
        <w:keepLines w:val="0"/>
        <w:widowControl w:val="0"/>
        <w:shd w:val="clear" w:color="auto" w:fill="auto"/>
        <w:bidi w:val="0"/>
        <w:spacing w:before="0" w:after="4540" w:line="240" w:lineRule="auto"/>
        <w:ind w:left="0" w:right="0" w:firstLine="0"/>
        <w:jc w:val="right"/>
      </w:pPr>
      <w:r>
        <w:rPr>
          <w:color w:val="000000"/>
          <w:spacing w:val="0"/>
          <w:w w:val="100"/>
          <w:position w:val="0"/>
          <w:sz w:val="24"/>
          <w:szCs w:val="24"/>
          <w:shd w:val="clear" w:color="auto" w:fill="auto"/>
          <w:lang w:val="ru-RU" w:eastAsia="ru-RU" w:bidi="ru-RU"/>
        </w:rPr>
        <w:t>А.Р. Мулагалеев</w:t>
      </w:r>
    </w:p>
    <w:p>
      <w:pPr>
        <w:pStyle w:val="Style1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Исп.Хоменко Е.М. тел.8(391)2110144</w:t>
      </w:r>
    </w:p>
    <w:sectPr>
      <w:footerReference w:type="default" r:id="rId15"/>
      <w:footnotePr>
        <w:pos w:val="pageBottom"/>
        <w:numFmt w:val="decimal"/>
        <w:numRestart w:val="continuous"/>
      </w:footnotePr>
      <w:pgSz w:w="11900" w:h="16840"/>
      <w:pgMar w:top="1119" w:right="493" w:bottom="1119" w:left="1106" w:header="691"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2024-16517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776.20000000000005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2024-16517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10016490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2024-16517</w:t>
                          </w:r>
                        </w:p>
                      </w:txbxContent>
                    </wps:txbx>
                    <wps:bodyPr wrap="none" lIns="0" tIns="0" rIns="0" bIns="0">
                      <a:spAutoFit/>
                    </wps:bodyPr>
                  </wps:wsp>
                </a:graphicData>
              </a:graphic>
            </wp:anchor>
          </w:drawing>
        </mc:Choice>
        <mc:Fallback>
          <w:pict>
            <v:shape id="_x0000_s1031" type="#_x0000_t202" style="position:absolute;margin-left:57.050000000000004pt;margin-top:788.7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2024-16517</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724535</wp:posOffset>
              </wp:positionH>
              <wp:positionV relativeFrom="page">
                <wp:posOffset>10016490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2024-16517</w:t>
                          </w:r>
                        </w:p>
                      </w:txbxContent>
                    </wps:txbx>
                    <wps:bodyPr wrap="none" lIns="0" tIns="0" rIns="0" bIns="0">
                      <a:spAutoFit/>
                    </wps:bodyPr>
                  </wps:wsp>
                </a:graphicData>
              </a:graphic>
            </wp:anchor>
          </w:drawing>
        </mc:Choice>
        <mc:Fallback>
          <w:pict>
            <v:shape id="_x0000_s1033" type="#_x0000_t202" style="position:absolute;margin-left:57.050000000000004pt;margin-top:788.70000000000005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2024-16517</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724535</wp:posOffset>
              </wp:positionH>
              <wp:positionV relativeFrom="page">
                <wp:posOffset>10016490</wp:posOffset>
              </wp:positionV>
              <wp:extent cx="725170" cy="100330"/>
              <wp:wrapNone/>
              <wp:docPr id="9" name="Shape 9"/>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2024-16517</w:t>
                          </w:r>
                        </w:p>
                      </w:txbxContent>
                    </wps:txbx>
                    <wps:bodyPr wrap="none" lIns="0" tIns="0" rIns="0" bIns="0">
                      <a:spAutoFit/>
                    </wps:bodyPr>
                  </wps:wsp>
                </a:graphicData>
              </a:graphic>
            </wp:anchor>
          </w:drawing>
        </mc:Choice>
        <mc:Fallback>
          <w:pict>
            <v:shape id="_x0000_s1035" type="#_x0000_t202" style="position:absolute;margin-left:57.050000000000004pt;margin-top:788.70000000000005pt;width:57.100000000000001pt;height:7.90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2024-16517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360A3"/>
      <w:sz w:val="18"/>
      <w:szCs w:val="18"/>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48"/>
      <w:szCs w:val="48"/>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44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3)"/>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11">
    <w:name w:val="Подпись к картинке"/>
    <w:basedOn w:val="Normal"/>
    <w:link w:val="CharStyle12"/>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360A3"/>
      <w:sz w:val="18"/>
      <w:szCs w:val="18"/>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Заголовок №1"/>
    <w:basedOn w:val="Normal"/>
    <w:link w:val="CharStyle16"/>
    <w:pPr>
      <w:widowControl w:val="0"/>
      <w:shd w:val="clear" w:color="auto" w:fill="auto"/>
      <w:spacing w:after="300"/>
      <w:outlineLvl w:val="0"/>
    </w:pPr>
    <w:rPr>
      <w:rFonts w:ascii="Arial" w:eastAsia="Arial" w:hAnsi="Arial" w:cs="Arial"/>
      <w:b w:val="0"/>
      <w:bCs w:val="0"/>
      <w:i w:val="0"/>
      <w:iCs w:val="0"/>
      <w:smallCaps w:val="0"/>
      <w:strike w:val="0"/>
      <w:sz w:val="48"/>
      <w:szCs w:val="4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footer" Target="footer5.xml"/><Relationship Id="rId14" Type="http://schemas.openxmlformats.org/officeDocument/2006/relationships/footer" Target="footer6.xml"/><Relationship Id="rId15" Type="http://schemas.openxmlformats.org/officeDocument/2006/relationships/footer" Target="footer7.xml"/></Relationships>
</file>