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5"/>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телефакс (8732) 22-87-28</w:t>
        <w:br/>
        <w:t>е-тай: 1о06@Га8.§оу.ги</w:t>
      </w:r>
    </w:p>
    <w:p>
      <w:pPr>
        <w:pStyle w:val="Style10"/>
        <w:keepNext w:val="0"/>
        <w:keepLines w:val="0"/>
        <w:widowControl w:val="0"/>
        <w:shd w:val="clear" w:color="auto" w:fill="auto"/>
        <w:tabs>
          <w:tab w:leader="underscore" w:pos="1762" w:val="left"/>
          <w:tab w:leader="underscore" w:pos="3926" w:val="left"/>
        </w:tabs>
        <w:bidi w:val="0"/>
        <w:spacing w:before="0" w:after="0"/>
        <w:ind w:left="0" w:right="0" w:firstLine="0"/>
        <w:jc w:val="center"/>
      </w:pPr>
      <w:r>
        <w:rPr>
          <w:spacing w:val="0"/>
          <w:w w:val="100"/>
          <w:position w:val="0"/>
          <w:shd w:val="clear" w:color="auto" w:fill="auto"/>
          <w:lang w:val="ru-RU" w:eastAsia="ru-RU" w:bidi="ru-RU"/>
        </w:rPr>
        <w:tab/>
        <w:t xml:space="preserve"> №</w:t>
        <w:tab/>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ГБУ « Республиканское патологоанатомическое бюро» ргохек1@тай.ги</w:t>
      </w:r>
    </w:p>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КОМИТЕТ ГОСЗАКАЗА ИНГУШЕТИИ</w:t>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хака7Л@тай.ги, xауаVкап@та^1.^и</w:t>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ОБЩЕСТВО С ОГРАНИЧЕННОЙ ОТВЕТСТВЕННОСТЬЮ "ЛАБИКО" 192019, ГОРОД САНКТ-ПЕТЕРБУРГ, УЛ. ПРОФЕССОРА КАЧАЛОВА, Д. 3, ЛИТЕР Б, ПОМЕЩ. 300 т&amp;@1аЫко.рго; тГо@1р1к.ги</w:t>
      </w:r>
    </w:p>
    <w:p>
      <w:pPr>
        <w:pStyle w:val="Style12"/>
        <w:keepNext w:val="0"/>
        <w:keepLines w:val="0"/>
        <w:widowControl w:val="0"/>
        <w:shd w:val="clear" w:color="auto" w:fill="auto"/>
        <w:bidi w:val="0"/>
        <w:spacing w:before="0" w:after="0" w:line="240" w:lineRule="auto"/>
        <w:ind w:left="0" w:right="0" w:firstLine="0"/>
        <w:jc w:val="left"/>
        <w:rPr>
          <w:sz w:val="28"/>
          <w:szCs w:val="28"/>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853" w:bottom="1313" w:left="1217" w:header="0" w:footer="3" w:gutter="0"/>
          <w:pgNumType w:start="1"/>
          <w:cols w:num="2" w:space="720" w:equalWidth="0">
            <w:col w:w="3984" w:space="1205"/>
            <w:col w:w="4642"/>
          </w:cols>
          <w:noEndnote/>
          <w:titlePg/>
          <w:rtlGutter w:val="0"/>
          <w:docGrid w:linePitch="360"/>
        </w:sectPr>
      </w:pPr>
      <w:r>
        <w:rPr>
          <w:color w:val="000000"/>
          <w:spacing w:val="0"/>
          <w:w w:val="100"/>
          <w:position w:val="0"/>
          <w:sz w:val="28"/>
          <w:szCs w:val="28"/>
          <w:shd w:val="clear" w:color="auto" w:fill="auto"/>
          <w:lang w:val="ru-RU" w:eastAsia="ru-RU" w:bidi="ru-RU"/>
        </w:rPr>
        <w:t>АО «ЕЭТП» ко@го8екогд.ги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 w:after="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09" w:right="0" w:bottom="888" w:left="0" w:header="0" w:footer="3" w:gutter="0"/>
          <w:cols w:space="720"/>
          <w:noEndnote/>
          <w:rtlGutter w:val="0"/>
          <w:docGrid w:linePitch="360"/>
        </w:sectPr>
      </w:pPr>
    </w:p>
    <w:p>
      <w:pPr>
        <w:pStyle w:val="Style12"/>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006/06/105-508/2024 о нарушении</w:t>
        <w:br/>
        <w:t>законодательства о контрактной системе</w:t>
      </w:r>
    </w:p>
    <w:p>
      <w:pPr>
        <w:pStyle w:val="Style12"/>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ru-RU" w:eastAsia="ru-RU" w:bidi="ru-RU"/>
        </w:rPr>
        <w:t>г. Назрань</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Резолютивная часть решения объявлена 30 сентября 2024 года</w:t>
      </w:r>
    </w:p>
    <w:p>
      <w:pPr>
        <w:pStyle w:val="Style1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В полном объеме решение изготовлено 30 сентября 2024 года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 комиссии: А.А. Аушев - начальник отдела контроля торгов Управления;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М.М. Точиев - главный специалист-эксперт Управления;</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А.Б. Торшкоев - ведущий специалист-эксперт Управления.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 - ГБУ «Республиканское патологоанатомическое бюро» (далее - Заказчик);</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уполномоченного органа - Комитета государственного заказа Республики Ингушетия (далее - Уполномоченный орган);</w:t>
      </w:r>
    </w:p>
    <w:p>
      <w:pPr>
        <w:widowControl w:val="0"/>
        <w:spacing w:line="1" w:lineRule="exact"/>
      </w:pPr>
      <w:r>
        <w:drawing>
          <wp:anchor distT="0" distB="0" distL="0" distR="0" simplePos="0" relativeHeight="125829378" behindDoc="0" locked="0" layoutInCell="1" allowOverlap="1">
            <wp:simplePos x="0" y="0"/>
            <wp:positionH relativeFrom="page">
              <wp:posOffset>714375</wp:posOffset>
            </wp:positionH>
            <wp:positionV relativeFrom="paragraph">
              <wp:posOffset>0</wp:posOffset>
            </wp:positionV>
            <wp:extent cx="1517650"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7650" cy="292735"/>
                    </a:xfrm>
                    <a:prstGeom prst="rect"/>
                  </pic:spPr>
                </pic:pic>
              </a:graphicData>
            </a:graphic>
          </wp:anchor>
        </w:drawing>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заявителя жалобы: ООО «Лабико» - (далее - Заявитель).</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Все стороны уведомлены надлежащим образом, заявлений и ходатайств не поступало.</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Заявителя на действия (бездействия) Заказчика и Уполномоченного органа) при проведении процедуры закупки № 0114500000824001901 (объект закупки: ксилоловый раствор ивд)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\у\у\у./акирк1.доу.Г11 (далее - ЕИС) размещено извещение о проведении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жалобе Заказчиком установлены излишние требования к описанию объекта закупки, а именно указано, что ксилоловый раствор должен быть в упаковке - стеклянная бутыль.</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27.09.2024 Комиссией Управления был объявлен перерыв в рассмотрении жалобы и проведении внеплановой проверки до 30.09.2024.</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2"/>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об осуществлении закупки размещено в ЕИС - 17.09.2024;</w:t>
      </w:r>
    </w:p>
    <w:p>
      <w:pPr>
        <w:pStyle w:val="Style12"/>
        <w:keepNext w:val="0"/>
        <w:keepLines w:val="0"/>
        <w:widowControl w:val="0"/>
        <w:numPr>
          <w:ilvl w:val="0"/>
          <w:numId w:val="1"/>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12"/>
        <w:keepNext w:val="0"/>
        <w:keepLines w:val="0"/>
        <w:widowControl w:val="0"/>
        <w:numPr>
          <w:ilvl w:val="0"/>
          <w:numId w:val="1"/>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- 340 602,00 рублей;</w:t>
      </w:r>
    </w:p>
    <w:p>
      <w:pPr>
        <w:pStyle w:val="Style12"/>
        <w:keepNext w:val="0"/>
        <w:keepLines w:val="0"/>
        <w:widowControl w:val="0"/>
        <w:numPr>
          <w:ilvl w:val="0"/>
          <w:numId w:val="1"/>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подачи заявок - 25.09.2024 09:00;</w:t>
      </w:r>
    </w:p>
    <w:p>
      <w:pPr>
        <w:pStyle w:val="Style12"/>
        <w:keepNext w:val="0"/>
        <w:keepLines w:val="0"/>
        <w:widowControl w:val="0"/>
        <w:numPr>
          <w:ilvl w:val="0"/>
          <w:numId w:val="1"/>
        </w:numPr>
        <w:shd w:val="clear" w:color="auto" w:fill="auto"/>
        <w:tabs>
          <w:tab w:pos="1117"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- 26.09.2024.</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 (часть 1 статьи 9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Статьей 8 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w:t>
      </w:r>
      <w:r>
        <w:rPr>
          <w:color w:val="000000"/>
          <w:spacing w:val="0"/>
          <w:w w:val="100"/>
          <w:position w:val="0"/>
          <w:shd w:val="clear" w:color="auto" w:fill="auto"/>
          <w:lang w:val="ru-RU" w:eastAsia="ru-RU" w:bidi="ru-RU"/>
        </w:rPr>
        <w:t>(подрядчиком,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49 Закона о контрактной системе эллектронный аукцион начинается с размещения в единой информационной системе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1 части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жалобе Заказчиком установлены излишние требования к к характеристикам поставляемого товара, а именно указано, что раствор должен быть в упаковке - стеклянная бутыль.</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Заявитель полагает, что такие требования неправомерные, так как не предусмотрена возможность поставки ксилолового раствора в упаковке ПЭТ (полиэтилентерефталат).</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письменных пояснений Заказчика следует, что требования о поставке ксилолового раствора в стеклянной упаковке установлены исходя из потребности заказчика, а также ввиду того, что у него отсутствуют условия для надлежащего хранения такого раствора в упаковке ПЭТ.</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Наряду с изложенным Заказчиком предоставлены сведения о наличии в продаже ксилолового раствора в стеклянной упаковке различных производителей.</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Более того, Заявителем не обеспечена явка своего представителя на рассмотрение жалобы по существу и не представлы документы и сведения, подтверждающие нарушение его прав и законных интересов при размещении настоящей Закупки.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Также Комиссией Управления отмечено, что на участие в Закупке поданы две </w:t>
      </w:r>
      <w:r>
        <w:rPr>
          <w:color w:val="000000"/>
          <w:spacing w:val="0"/>
          <w:w w:val="100"/>
          <w:position w:val="0"/>
          <w:shd w:val="clear" w:color="auto" w:fill="auto"/>
          <w:lang w:val="ru-RU" w:eastAsia="ru-RU" w:bidi="ru-RU"/>
        </w:rPr>
        <w:t>заявки от участников торгов, обе заявки признаны соответствующие требованиям извещения Закупки и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дополнение к указанному Комиссией Управления отмечено, что по результатам проведения электронной аукциона обеспечена экономия бюджетных средств (цены контракта снижена на 22,7 % от НМЦК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указанного следует, что Закупка осуществлена в условиях конкурентной среды.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Невозможность отдельных участников поставить товар, требуемый к поставке Заказчиком с учетом имеющихся потребностей, не является ограничением конкуренции и прав участника.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правовой позиции, сформированной в постановлении Президиума Высшего Арбитражного суда РФ от 28.12.2010 № 11017/10 по делу № А06- 6611/2009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Обзору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РФ 28.06.2017 г., 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требований Федерального закона от 26 июля 2006 года № 135-ФЗ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описание объекта Закупки в части касающиеся отвечает требованиям статьи 33 Закона о контрактной системе.</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Комиссией Управления жалоба признана необоснованной.</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Управления иных нарушений требований Закона о контрактной системе не выявлено.</w:t>
      </w:r>
    </w:p>
    <w:p>
      <w:pPr>
        <w:pStyle w:val="Style12"/>
        <w:keepNext w:val="0"/>
        <w:keepLines w:val="0"/>
        <w:widowControl w:val="0"/>
        <w:shd w:val="clear" w:color="auto" w:fill="auto"/>
        <w:tabs>
          <w:tab w:pos="845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статьями</w:t>
      </w:r>
      <w:r>
        <w:rPr>
          <w:color w:val="000080"/>
          <w:spacing w:val="0"/>
          <w:w w:val="100"/>
          <w:position w:val="0"/>
          <w:shd w:val="clear" w:color="auto" w:fill="auto"/>
          <w:lang w:val="ru-RU" w:eastAsia="ru-RU" w:bidi="ru-RU"/>
        </w:rPr>
        <w:t xml:space="preserve"> 99</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ab/>
      </w:r>
      <w:r>
        <w:rPr>
          <w:color w:val="000080"/>
          <w:spacing w:val="0"/>
          <w:w w:val="100"/>
          <w:position w:val="0"/>
          <w:u w:val="single"/>
          <w:shd w:val="clear" w:color="auto" w:fill="auto"/>
          <w:lang w:val="ru-RU" w:eastAsia="ru-RU" w:bidi="ru-RU"/>
        </w:rPr>
        <w:t>106</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Закона</w:t>
      </w:r>
    </w:p>
    <w:p>
      <w:pPr>
        <w:pStyle w:val="Style1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о контрактной системе,</w:t>
      </w:r>
      <w:r>
        <w:br w:type="page"/>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12"/>
        <w:keepNext w:val="0"/>
        <w:keepLines w:val="0"/>
        <w:widowControl w:val="0"/>
        <w:shd w:val="clear" w:color="auto" w:fill="auto"/>
        <w:bidi w:val="0"/>
        <w:spacing w:before="0" w:after="0" w:line="233" w:lineRule="auto"/>
        <w:ind w:left="0" w:right="0" w:firstLine="720"/>
        <w:jc w:val="both"/>
      </w:pPr>
      <w:r>
        <w:rPr>
          <w:color w:val="000000"/>
          <w:spacing w:val="0"/>
          <w:w w:val="100"/>
          <w:position w:val="0"/>
          <w:sz w:val="28"/>
          <w:szCs w:val="28"/>
          <w:shd w:val="clear" w:color="auto" w:fill="auto"/>
          <w:lang w:val="ru-RU" w:eastAsia="ru-RU" w:bidi="ru-RU"/>
        </w:rPr>
        <w:t xml:space="preserve">1. </w:t>
      </w:r>
      <w:r>
        <w:rPr>
          <w:color w:val="000000"/>
          <w:spacing w:val="0"/>
          <w:w w:val="100"/>
          <w:position w:val="0"/>
          <w:shd w:val="clear" w:color="auto" w:fill="auto"/>
          <w:lang w:val="ru-RU" w:eastAsia="ru-RU" w:bidi="ru-RU"/>
        </w:rPr>
        <w:t>Признать жалобу ООО «Лабико» необоснованной.</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8"/>
          <w:szCs w:val="28"/>
          <w:shd w:val="clear" w:color="auto" w:fill="auto"/>
          <w:lang w:val="ru-RU" w:eastAsia="ru-RU" w:bidi="ru-RU"/>
        </w:rPr>
        <w:t xml:space="preserve">2. </w:t>
      </w:r>
      <w:r>
        <w:rPr>
          <w:color w:val="000000"/>
          <w:spacing w:val="0"/>
          <w:w w:val="100"/>
          <w:position w:val="0"/>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12"/>
        <w:keepNext w:val="0"/>
        <w:keepLines w:val="0"/>
        <w:widowControl w:val="0"/>
        <w:shd w:val="clear" w:color="auto" w:fill="auto"/>
        <w:bidi w:val="0"/>
        <w:spacing w:before="0" w:after="580" w:line="240" w:lineRule="auto"/>
        <w:ind w:left="0" w:right="0" w:firstLine="720"/>
        <w:jc w:val="both"/>
      </w:pPr>
      <w:r>
        <mc:AlternateContent>
          <mc:Choice Requires="wps">
            <w:drawing>
              <wp:anchor distT="0" distB="591185" distL="114300" distR="187960" simplePos="0" relativeHeight="125829379" behindDoc="0" locked="0" layoutInCell="1" allowOverlap="1">
                <wp:simplePos x="0" y="0"/>
                <wp:positionH relativeFrom="page">
                  <wp:posOffset>5661660</wp:posOffset>
                </wp:positionH>
                <wp:positionV relativeFrom="paragraph">
                  <wp:posOffset>12700</wp:posOffset>
                </wp:positionV>
                <wp:extent cx="892810" cy="243840"/>
                <wp:wrapSquare wrapText="left"/>
                <wp:docPr id="10" name="Shape 10"/>
                <a:graphic xmlns:a="http://schemas.openxmlformats.org/drawingml/2006/main">
                  <a:graphicData uri="http://schemas.microsoft.com/office/word/2010/wordprocessingShape">
                    <wps:wsp>
                      <wps:cNvSpPr txBox="1"/>
                      <wps:spPr>
                        <a:xfrm>
                          <a:ext cx="892810" cy="24384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Аушев</w:t>
                            </w:r>
                          </w:p>
                        </w:txbxContent>
                      </wps:txbx>
                      <wps:bodyPr wrap="none" lIns="0" tIns="0" rIns="0" bIns="0">
                        <a:noAutoFit/>
                      </wps:bodyPr>
                    </wps:wsp>
                  </a:graphicData>
                </a:graphic>
              </wp:anchor>
            </w:drawing>
          </mc:Choice>
          <mc:Fallback>
            <w:pict>
              <v:shape id="_x0000_s1036" type="#_x0000_t202" style="position:absolute;margin-left:445.80000000000001pt;margin-top:1.pt;width:70.299999999999997pt;height:19.199999999999999pt;z-index:-125829374;mso-wrap-distance-left:9.pt;mso-wrap-distance-right:14.800000000000001pt;mso-wrap-distance-bottom:46.550000000000004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Аушев</w:t>
                      </w:r>
                    </w:p>
                  </w:txbxContent>
                </v:textbox>
                <w10:wrap type="square" side="left" anchorx="page"/>
              </v:shape>
            </w:pict>
          </mc:Fallback>
        </mc:AlternateContent>
      </w:r>
      <w:r>
        <mc:AlternateContent>
          <mc:Choice Requires="wps">
            <w:drawing>
              <wp:anchor distT="591185" distB="0" distL="114300" distR="114300" simplePos="0" relativeHeight="125829381" behindDoc="0" locked="0" layoutInCell="1" allowOverlap="1">
                <wp:simplePos x="0" y="0"/>
                <wp:positionH relativeFrom="page">
                  <wp:posOffset>5661660</wp:posOffset>
                </wp:positionH>
                <wp:positionV relativeFrom="paragraph">
                  <wp:posOffset>603885</wp:posOffset>
                </wp:positionV>
                <wp:extent cx="966470" cy="243840"/>
                <wp:wrapSquare wrapText="left"/>
                <wp:docPr id="12" name="Shape 12"/>
                <a:graphic xmlns:a="http://schemas.openxmlformats.org/drawingml/2006/main">
                  <a:graphicData uri="http://schemas.microsoft.com/office/word/2010/wordprocessingShape">
                    <wps:wsp>
                      <wps:cNvSpPr txBox="1"/>
                      <wps:spPr>
                        <a:xfrm>
                          <a:ext cx="966470" cy="24384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М.М. Точиев</w:t>
                            </w:r>
                          </w:p>
                        </w:txbxContent>
                      </wps:txbx>
                      <wps:bodyPr wrap="none" lIns="0" tIns="0" rIns="0" bIns="0">
                        <a:noAutoFit/>
                      </wps:bodyPr>
                    </wps:wsp>
                  </a:graphicData>
                </a:graphic>
              </wp:anchor>
            </w:drawing>
          </mc:Choice>
          <mc:Fallback>
            <w:pict>
              <v:shape id="_x0000_s1038" type="#_x0000_t202" style="position:absolute;margin-left:445.80000000000001pt;margin-top:47.550000000000004pt;width:76.100000000000009pt;height:19.199999999999999pt;z-index:-125829372;mso-wrap-distance-left:9.pt;mso-wrap-distance-top:46.550000000000004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М.М. Точиев</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 Комиссии:</w:t>
      </w:r>
    </w:p>
    <w:p>
      <w:pPr>
        <w:pStyle w:val="Style12"/>
        <w:keepNext w:val="0"/>
        <w:keepLines w:val="0"/>
        <w:widowControl w:val="0"/>
        <w:shd w:val="clear" w:color="auto" w:fill="auto"/>
        <w:bidi w:val="0"/>
        <w:spacing w:before="0" w:after="58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8840" w:line="240" w:lineRule="auto"/>
        <w:ind w:left="0" w:right="720" w:firstLine="0"/>
        <w:jc w:val="right"/>
      </w:pPr>
      <w:r>
        <w:rPr>
          <w:color w:val="000000"/>
          <w:spacing w:val="0"/>
          <w:w w:val="100"/>
          <w:position w:val="0"/>
          <w:shd w:val="clear" w:color="auto" w:fill="auto"/>
          <w:lang w:val="ru-RU" w:eastAsia="ru-RU" w:bidi="ru-RU"/>
        </w:rPr>
        <w:t>А.Б. Торшкоев</w:t>
      </w:r>
    </w:p>
    <w:p>
      <w:pPr>
        <w:pStyle w:val="Style12"/>
        <w:keepNext w:val="0"/>
        <w:keepLines w:val="0"/>
        <w:widowControl w:val="0"/>
        <w:shd w:val="clear" w:color="auto" w:fill="auto"/>
        <w:bidi w:val="0"/>
        <w:spacing w:before="0" w:after="580" w:line="240" w:lineRule="auto"/>
        <w:ind w:left="0" w:right="0" w:firstLine="720"/>
        <w:jc w:val="both"/>
        <w:rPr>
          <w:sz w:val="24"/>
          <w:szCs w:val="24"/>
        </w:rPr>
      </w:pPr>
      <w:r>
        <w:rPr>
          <w:color w:val="000000"/>
          <w:spacing w:val="0"/>
          <w:w w:val="100"/>
          <w:position w:val="0"/>
          <w:sz w:val="24"/>
          <w:szCs w:val="24"/>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footnotePr>
        <w:pos w:val="pageBottom"/>
        <w:numFmt w:val="decimal"/>
        <w:numRestart w:val="continuous"/>
      </w:footnotePr>
      <w:type w:val="continuous"/>
      <w:pgSz w:w="11900" w:h="16840"/>
      <w:pgMar w:top="909" w:right="536" w:bottom="888" w:left="11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9918065</wp:posOffset>
              </wp:positionV>
              <wp:extent cx="646430" cy="100330"/>
              <wp:wrapNone/>
              <wp:docPr id="4" name="Shape 4"/>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2024-3218</w:t>
                          </w:r>
                        </w:p>
                      </w:txbxContent>
                    </wps:txbx>
                    <wps:bodyPr wrap="none" lIns="0" tIns="0" rIns="0" bIns="0">
                      <a:spAutoFit/>
                    </wps:bodyPr>
                  </wps:wsp>
                </a:graphicData>
              </a:graphic>
            </wp:anchor>
          </w:drawing>
        </mc:Choice>
        <mc:Fallback>
          <w:pict>
            <v:shape id="_x0000_s1030" type="#_x0000_t202" style="position:absolute;margin-left:56.800000000000004pt;margin-top:780.95000000000005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2024-3218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6430" cy="100330"/>
              <wp:wrapNone/>
              <wp:docPr id="6" name="Shape 6"/>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2024-3218</w:t>
                          </w:r>
                        </w:p>
                      </w:txbxContent>
                    </wps:txbx>
                    <wps:bodyPr wrap="none" lIns="0" tIns="0" rIns="0" bIns="0">
                      <a:spAutoFit/>
                    </wps:bodyPr>
                  </wps:wsp>
                </a:graphicData>
              </a:graphic>
            </wp:anchor>
          </w:drawing>
        </mc:Choice>
        <mc:Fallback>
          <w:pict>
            <v:shape id="_x0000_s1032" type="#_x0000_t202" style="position:absolute;margin-left:57.pt;margin-top:776.20000000000005pt;width:50.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2024-3218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3918585</wp:posOffset>
              </wp:positionH>
              <wp:positionV relativeFrom="page">
                <wp:posOffset>665480</wp:posOffset>
              </wp:positionV>
              <wp:extent cx="76200" cy="121920"/>
              <wp:wrapNone/>
              <wp:docPr id="2" name="Shape 2"/>
              <a:graphic xmlns:a="http://schemas.openxmlformats.org/drawingml/2006/main">
                <a:graphicData uri="http://schemas.microsoft.com/office/word/2010/wordprocessingShape">
                  <wps:wsp>
                    <wps:cNvSpPr txBox="1"/>
                    <wps:spPr>
                      <a:xfrm>
                        <a:ext cx="7620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8.55000000000001pt;margin-top:52.399999999999999pt;width:6.pt;height:9.59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4"/>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4"/>
      <w:sz w:val="19"/>
      <w:szCs w:val="19"/>
      <w:u w:val="none"/>
    </w:rPr>
  </w:style>
  <w:style w:type="character" w:customStyle="1" w:styleId="CharStyle11">
    <w:name w:val="Основной текст (4)_"/>
    <w:basedOn w:val="DefaultParagraphFont"/>
    <w:link w:val="Style10"/>
    <w:rPr>
      <w:rFonts w:ascii="Arial" w:eastAsia="Arial" w:hAnsi="Arial" w:cs="Arial"/>
      <w:b w:val="0"/>
      <w:bCs w:val="0"/>
      <w:i w:val="0"/>
      <w:iCs w:val="0"/>
      <w:smallCaps w:val="0"/>
      <w:strike w:val="0"/>
      <w:color w:val="4360A4"/>
      <w:sz w:val="18"/>
      <w:szCs w:val="18"/>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170" w:line="283" w:lineRule="auto"/>
      <w:jc w:val="center"/>
    </w:pPr>
    <w:rPr>
      <w:rFonts w:ascii="Times New Roman" w:eastAsia="Times New Roman" w:hAnsi="Times New Roman" w:cs="Times New Roman"/>
      <w:b w:val="0"/>
      <w:bCs w:val="0"/>
      <w:i w:val="0"/>
      <w:iCs w:val="0"/>
      <w:smallCaps w:val="0"/>
      <w:strike w:val="0"/>
      <w:color w:val="4360A4"/>
      <w:sz w:val="16"/>
      <w:szCs w:val="16"/>
      <w:u w:val="none"/>
    </w:rPr>
  </w:style>
  <w:style w:type="paragraph" w:customStyle="1" w:styleId="Style8">
    <w:name w:val="Основной текст (3)"/>
    <w:basedOn w:val="Normal"/>
    <w:link w:val="CharStyle9"/>
    <w:pPr>
      <w:widowControl w:val="0"/>
      <w:shd w:val="clear" w:color="auto" w:fill="auto"/>
      <w:spacing w:after="200"/>
      <w:jc w:val="center"/>
    </w:pPr>
    <w:rPr>
      <w:rFonts w:ascii="Times New Roman" w:eastAsia="Times New Roman" w:hAnsi="Times New Roman" w:cs="Times New Roman"/>
      <w:b/>
      <w:bCs/>
      <w:i w:val="0"/>
      <w:iCs w:val="0"/>
      <w:smallCaps w:val="0"/>
      <w:strike w:val="0"/>
      <w:color w:val="4360A4"/>
      <w:sz w:val="19"/>
      <w:szCs w:val="19"/>
      <w:u w:val="none"/>
    </w:rPr>
  </w:style>
  <w:style w:type="paragraph" w:customStyle="1" w:styleId="Style10">
    <w:name w:val="Основной текст (4)"/>
    <w:basedOn w:val="Normal"/>
    <w:link w:val="CharStyle11"/>
    <w:pPr>
      <w:widowControl w:val="0"/>
      <w:shd w:val="clear" w:color="auto" w:fill="auto"/>
      <w:spacing w:line="264" w:lineRule="auto"/>
      <w:jc w:val="center"/>
    </w:pPr>
    <w:rPr>
      <w:rFonts w:ascii="Arial" w:eastAsia="Arial" w:hAnsi="Arial" w:cs="Arial"/>
      <w:b w:val="0"/>
      <w:bCs w:val="0"/>
      <w:i w:val="0"/>
      <w:iCs w:val="0"/>
      <w:smallCaps w:val="0"/>
      <w:strike w:val="0"/>
      <w:color w:val="4360A4"/>
      <w:sz w:val="18"/>
      <w:szCs w:val="18"/>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