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АНТИМОНОПОЛЬНАЯ СЛУЖБА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ГБУЗ «НИИ СП им. Н.В.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Склифосовского ДЗМ»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headerReference w:type="default" r:id="rId5"/>
          <w:footerReference w:type="default" r:id="rId6"/>
          <w:headerReference w:type="firs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1162" w:right="2236" w:bottom="621" w:left="1601" w:header="0" w:footer="3" w:gutter="0"/>
          <w:pgNumType w:start="1"/>
          <w:cols w:num="2" w:space="1546"/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Ме1п^коVаА^@8к1^Г.то8.^и</w:t>
      </w:r>
    </w:p>
    <w:p>
      <w:pPr>
        <w:widowControl w:val="0"/>
        <w:spacing w:line="97" w:lineRule="exact"/>
        <w:rPr>
          <w:sz w:val="8"/>
          <w:szCs w:val="8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62" w:right="0" w:bottom="621" w:left="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38100" distB="0" distL="114300" distR="114300" simplePos="0" relativeHeight="125829378" behindDoc="0" locked="0" layoutInCell="1" allowOverlap="1">
                <wp:simplePos x="0" y="0"/>
                <wp:positionH relativeFrom="page">
                  <wp:posOffset>1260475</wp:posOffset>
                </wp:positionH>
                <wp:positionV relativeFrom="paragraph">
                  <wp:posOffset>262255</wp:posOffset>
                </wp:positionV>
                <wp:extent cx="1557655" cy="292735"/>
                <wp:wrapTopAndBottom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57655" cy="2927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Мясницкий проезд, д.4, стр. 1</w:t>
                              <w:br/>
                              <w:t>107078, г. Москва,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99.25pt;margin-top:20.650000000000002pt;width:122.65000000000001pt;height:23.050000000000001pt;z-index:-125829375;mso-wrap-distance-left:9.pt;mso-wrap-distance-top:3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Мясницкий проезд, д.4, стр. 1</w:t>
                        <w:br/>
                        <w:t>107078, г. Москва,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по г. Москве</w:t>
        <w:br/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тел. (495) 784-75-05, факс (495) 607-49-29</w:t>
        <w:br/>
        <w:t xml:space="preserve">факс (495) 607-42-92, </w:t>
      </w:r>
      <w:r>
        <w:rPr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е-тай: 1о77@Га8.еоу.ги</w:t>
      </w:r>
    </w:p>
    <w:p>
      <w:pPr>
        <w:pStyle w:val="Style11"/>
        <w:keepNext/>
        <w:keepLines/>
        <w:widowControl w:val="0"/>
        <w:shd w:val="clear" w:color="auto" w:fill="auto"/>
        <w:tabs>
          <w:tab w:pos="1838" w:val="left"/>
        </w:tabs>
        <w:bidi w:val="0"/>
        <w:spacing w:before="0" w:after="0" w:line="240" w:lineRule="auto"/>
        <w:ind w:left="0" w:right="0" w:firstLine="0"/>
        <w:jc w:val="left"/>
      </w:pP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01.10.2024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ab/>
        <w:t>№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40368/24</w:t>
      </w:r>
      <w:bookmarkEnd w:id="0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«МЕДПОСТАВЩИК»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62" w:right="2072" w:bottom="621" w:left="1269" w:header="0" w:footer="3" w:gutter="0"/>
          <w:cols w:num="2" w:space="720" w:equalWidth="0">
            <w:col w:w="3835" w:space="1301"/>
            <w:col w:w="3422"/>
          </w:cols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те4ро8120@тай.ги</w:t>
      </w:r>
    </w:p>
    <w:p>
      <w:pPr>
        <w:widowControl w:val="0"/>
        <w:spacing w:line="172" w:lineRule="exact"/>
        <w:rPr>
          <w:sz w:val="14"/>
          <w:szCs w:val="14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79" w:right="0" w:bottom="766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94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На№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№077/06/106-13103/2024 о нарушении</w:t>
        <w:br/>
        <w:t>законодательства о контрактной системе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mc:AlternateContent>
          <mc:Choice Requires="wps">
            <w:drawing>
              <wp:anchor distT="0" distB="0" distL="114300" distR="114300" simplePos="0" relativeHeight="125829380" behindDoc="0" locked="0" layoutInCell="1" allowOverlap="1">
                <wp:simplePos x="0" y="0"/>
                <wp:positionH relativeFrom="page">
                  <wp:posOffset>6402070</wp:posOffset>
                </wp:positionH>
                <wp:positionV relativeFrom="paragraph">
                  <wp:posOffset>38100</wp:posOffset>
                </wp:positionV>
                <wp:extent cx="798830" cy="198120"/>
                <wp:wrapSquare wrapText="left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98830" cy="1981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г. Москва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504.10000000000002pt;margin-top:3.pt;width:62.899999999999999pt;height:15.6pt;z-index:-12582937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г. Москва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30.09.2024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- главного государственного инспектора отдела обжалования государственных закупок С.И. Казарина,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обжалования государственных закупок Е.Д. Мартьяновой,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 отдела обжалования государственных закупок О.А. Челновой,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рассмотрение жалобы проводилось дистанционно (посредством видео</w:t>
        <w:softHyphen/>
        <w:t>конференц-связи),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участии представителей: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ГБУЗ «НИИ СП им. Н.В. Склифосовского ДЗМ»: А.А. Карина (по доверенности №590 от 24.10.2023), О.Н. Бедина (по доверенности №539 от 03.10.2024), И.Х. Калова (по доверенности №709 от 31.05.2024),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1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отсутствие представителей ООО «МЕДПОСТАВЩИК», о времени и порядке заседания Комиссии Управления уведомленных посредством функционала Единой информационной системы,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38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ООО «МЕДПОСТАВЩИК» (далее — Заявитель) на действия ГБУЗ «НИИ СП им. Н.В. Склифосовского ДЗМ» (далее — Заказчик) при проведении электронного аукциона на право заключения государственного контракта на поставку медицинских изделий (МИ-23) для оказания медицинской помощи в отделениях ГБУЗ «НИИ СП им. Н.В. Склифосовского ДЗМ» (Закупка №0373200067024000789) (далее - аукцион) в соответствии с Федеральным законом от 05.04.2013 №44-ФЗ «О контрактной системе в сфере закупок товаров, работ,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line="240" w:lineRule="auto"/>
        <w:ind w:left="0" w:right="0"/>
        <w:jc w:val="left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||||||||||||||||||||||||||||</w:t>
      </w:r>
      <w:bookmarkEnd w:id="2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услуг для обеспечения государственных и муниципальных нужд» (далее - Закон о контрактной системе),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Московское УФАС России поступила жалоба Заявителя на действия Заказчика при проведении электронного аукциона.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заседание Комиссии Управления Заказчиком представлены документы и сведения, запрашиваемые Московским УФАС России.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результате рассмотрения жалобы, рассмотрев представленные документы и сведения, Комиссия Управления установила следующее.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п.1 ч.2 ст.42 Закона о контрактной системе извещение об осуществлении закупки, если иное не предусмотрено Законом о контрактной системе, должно содержать описание объекта закупки в соответствии со ст.33 Закона о контрактной системе.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п.1 ч.1 ст.33 Закона о контрактной системе заказчиком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П.2 ч.1 ст.33 Закона о контрактной системе установлено, что Заказчик должен использовать при формировании описания объекта закупки,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извещении о закупке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80" w:line="276" w:lineRule="auto"/>
        <w:ind w:left="0" w:right="0" w:firstLine="700"/>
        <w:jc w:val="both"/>
        <w:rPr>
          <w:sz w:val="22"/>
          <w:szCs w:val="22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79" w:right="540" w:bottom="766" w:left="1103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Согласно ч.2 ст.33 Закона о контрактной системе описание объекта закупки в соответствии с требованиями, указанными в ч.1 ст.33 Закона о контрактной системе, должно содержать показатели, позволяющие определить соответствие </w:t>
      </w:r>
      <w:r>
        <w:rPr>
          <w:rFonts w:ascii="Cambria" w:eastAsia="Cambria" w:hAnsi="Cambria" w:cs="Cambria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2024-45810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1.Согласно доводам жалобы Заказчиком установлены неправомерные требования к товарам противоречащие государственным стандартам.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Так, Заказчиком, например, по позиции «Перчатки хирургические из латекса гевеи, неопудренные. Идентификатор: 161151096» установлены требования: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Длина перчатки от кончика среднего пальца до края манжеты: &gt; 400 и &lt; 420 Миллиметр;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 разделом 6 ГОСТ Р 52238-2004, установлено, что такая длина составляет 250 мм до 280 мм в зависимости от размера перчатки.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Также Государственным стандартом установлены требования к минимальной длине. Согласно таблице Приложения №1 МР 3.5.10113-16 установлены следующие требования к размеру перчаток:</w:t>
      </w:r>
    </w:p>
    <w:tbl>
      <w:tblPr>
        <w:tblOverlap w:val="never"/>
        <w:jc w:val="center"/>
        <w:tblLayout w:type="fixed"/>
      </w:tblPr>
      <w:tblGrid>
        <w:gridCol w:w="2198"/>
        <w:gridCol w:w="2078"/>
        <w:gridCol w:w="2074"/>
        <w:gridCol w:w="2568"/>
      </w:tblGrid>
      <w:tr>
        <w:trPr>
          <w:trHeight w:val="109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676767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Размер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40"/>
              <w:jc w:val="left"/>
              <w:rPr>
                <w:sz w:val="20"/>
                <w:szCs w:val="20"/>
              </w:rPr>
            </w:pPr>
            <w:r>
              <w:rPr>
                <w:color w:val="545258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Ширина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7183A4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 xml:space="preserve">(рисунок 1), </w:t>
            </w:r>
            <w:r>
              <w:rPr>
                <w:color w:val="545258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мм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676767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 xml:space="preserve">Длина 1 </w:t>
            </w:r>
            <w:r>
              <w:rPr>
                <w:color w:val="7183A4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 xml:space="preserve">(рисунок 1), </w:t>
            </w:r>
            <w:r>
              <w:rPr>
                <w:color w:val="676767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 xml:space="preserve">мм, </w:t>
            </w:r>
            <w:r>
              <w:rPr>
                <w:color w:val="4B4A4A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не менее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545258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 xml:space="preserve">Толщина </w:t>
            </w:r>
            <w:r>
              <w:rPr>
                <w:color w:val="4B4A4A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 xml:space="preserve">в </w:t>
            </w:r>
            <w:r>
              <w:rPr>
                <w:color w:val="545258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 xml:space="preserve">местах измерения </w:t>
            </w:r>
            <w:r>
              <w:rPr>
                <w:color w:val="7183A4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 xml:space="preserve">(рисунок 2), </w:t>
            </w:r>
            <w:r>
              <w:rPr>
                <w:color w:val="545258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 xml:space="preserve">мм, </w:t>
            </w:r>
            <w:r>
              <w:rPr>
                <w:color w:val="4B4A4A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 xml:space="preserve">не </w:t>
            </w:r>
            <w:r>
              <w:rPr>
                <w:color w:val="545258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менее</w:t>
            </w:r>
          </w:p>
        </w:tc>
      </w:tr>
      <w:tr>
        <w:trPr>
          <w:trHeight w:val="3437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41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545258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5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41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545258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5,5 6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41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545258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6,5 7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41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545258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7,5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140" w:line="341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545258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8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46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545258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8,5 9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346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545258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9,5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43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676767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 xml:space="preserve">67 </w:t>
            </w:r>
            <w:r>
              <w:rPr>
                <w:color w:val="272727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 xml:space="preserve">+ </w:t>
            </w:r>
            <w:r>
              <w:rPr>
                <w:color w:val="676767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4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43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323339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 xml:space="preserve">72 </w:t>
            </w:r>
            <w:r>
              <w:rPr>
                <w:color w:val="272727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 xml:space="preserve">± </w:t>
            </w:r>
            <w:r>
              <w:rPr>
                <w:color w:val="323339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 xml:space="preserve">4 </w:t>
            </w:r>
            <w:r>
              <w:rPr>
                <w:i/>
                <w:iCs/>
                <w:color w:val="323339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77+5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43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545258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 xml:space="preserve">83 </w:t>
            </w:r>
            <w:r>
              <w:rPr>
                <w:color w:val="272727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 xml:space="preserve">+ </w:t>
            </w:r>
            <w:r>
              <w:rPr>
                <w:color w:val="545258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5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140" w:line="343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323339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 xml:space="preserve">89 + </w:t>
            </w:r>
            <w:r>
              <w:rPr>
                <w:color w:val="272727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 xml:space="preserve">5 </w:t>
            </w:r>
            <w:r>
              <w:rPr>
                <w:color w:val="545258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 xml:space="preserve">95+5 102 </w:t>
            </w: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 xml:space="preserve">± </w:t>
            </w:r>
            <w:r>
              <w:rPr>
                <w:color w:val="545258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6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36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545258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 xml:space="preserve">108+ 6 </w:t>
            </w:r>
            <w:r>
              <w:rPr>
                <w:color w:val="323339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 xml:space="preserve">114± 6 </w:t>
            </w:r>
            <w:r>
              <w:rPr>
                <w:color w:val="545258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 xml:space="preserve">121+ </w:t>
            </w:r>
            <w:r>
              <w:rPr>
                <w:color w:val="676767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6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676767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250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272727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250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676767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260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676767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260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272727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270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272727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270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24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676767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270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272727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280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676767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280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272727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280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120" w:line="276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545258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 xml:space="preserve">0,10 </w:t>
            </w:r>
            <w:r>
              <w:rPr>
                <w:color w:val="323339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 xml:space="preserve">- </w:t>
            </w:r>
            <w:r>
              <w:rPr>
                <w:color w:val="545258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для гладких участков;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545258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0,13</w:t>
            </w:r>
            <w:r>
              <w:rPr>
                <w:color w:val="323339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-для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545258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текстурированных участков</w:t>
            </w:r>
          </w:p>
        </w:tc>
      </w:tr>
    </w:tbl>
    <w:p>
      <w:pPr>
        <w:widowControl w:val="0"/>
        <w:spacing w:after="79" w:line="1" w:lineRule="exact"/>
      </w:pP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тем, согласно документам нормативно-технического регулирования, национальной системе стандартизации, допустимыми размерами хирургических перчаток являются значения от 250 до 280мм. Использование хирургических перчаток с удлиненной манжетой длина перчатки достигает 450мм предусмотрено МР 3.5.1.0113-16 только для манипуляций в акушерстве и гинекологии, а также при урологических и проктологических вмешательствах.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 требования Заказчика противоречат государственному стандарту и ограничивает участников закупки.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заседании Комиссии Управления представитель Заказчика пояснил, что ГОСТ Р 52238-2004 устанавливает требования к минимальному значению длины перчаток - не менее 250-280 мм, но максимальное значение отсутствует, при этом в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соответствии с ГОСТ Р 52238-2004 установлены эксплуатационные характеристики упакованных стерильных хирургических одноразовых перчаток из каучукового латекса, предназначенных для защиты пациента и медицинского работника от взаимного заражения во время проведения хирургических операций. Данным стандартом определены размеры перчаток и допустимые отклонения.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Также, согласно пункту 4.2. МР перед выбором перчаток необходимо оценить характер выполняемых процедур, инфекционные, механические, химические, радиационные риски, а также возможность развития кожных заболеваний и патологических реакций на материал перчаток. Алгоритм подбора медицинских перчаток в соответствии с классификацией можно условно разделить на несколько этапов: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6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выбор типа перчаток в зависимости от степени инвазивности и эпидемиологической опасности выполняемой процедуры;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74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выбор типа перчаток по целевому назначению;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746" w:val="left"/>
        </w:tabs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выбор перчаток по размеру.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То есть, удлиненные перчатки в зависимости от длины, как минимум, планируется использовать для эффективной защиты предплечья при инвазивных манипуляциях с высоким риском инфицирования и повреждения перчатки, при использовании во время манипуляций в акушерстве и гинекологии.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согласно МР 3.5.1.0113-16, максимальная рекомендуемая длина акушерских гинекологических перчаток достигает 450 мм, но может быть и менее заявленного значения. Учитывая потребность персонала, размеры рук врачей гинекологического отделения, длина в 450 мм будет пережимать плечо, доходить практически до плечевого сустава сотрудниц женского пола, при этом оптимальной, исходя из опыта и удобства применения медицинских перчаток в гинекологии, является длина от 400 мм до 420 мм.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установленные Заказчиком требования не противоречат государственным стандартам и требованиям Закона о контрактной системе.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ч.4 ст.106 Закона о контрактной системе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жалобы, вместе с тем в составе жалобы Заявителем не представлено документов и сведений, свидетельствующих о невозможности формирования заявки в соответствии с требованиями извещения об осуществлении закупки, а также не представлено документов и доказательств, свидетельствующих об ограничении количества участников закупки и о нарушении Заказчиком норм законодательства об осуществлении закупок, ввиду чего у Комиссии Управления отсутствуют правовые основания для признания Заказчика нарушившим требования Закона о контрактной системе.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изложенного Комиссия Управления приходит к выводу о том, что вышеуказанные доводы Заявителя являются необоснованными.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Исследовав представленные материалы, Законом о контрактной системе, Комиссия Управления</w:t>
      </w:r>
      <w:r>
        <w:br w:type="page"/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 Е Ш И Л А: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1. Признать жалобу ООО «МЕДПОСТАВЩИК» на действия ГБУЗ «НИИ СП им. Н.В. Склифосовского ДЗМ» необоснованной.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2. Снять ограничения на определение поставщика (подрядчика, исполнителя) путем проведения аукционов, наложенные Московским УФАС России.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в судебном порядке в Арбитражном суде г. Москвы в течение 3 (трех) месяцев с даты его принятия в порядке, установленным гл. 24 АПК РФ.</w:t>
      </w:r>
    </w:p>
    <w:p>
      <w:pPr>
        <w:widowControl w:val="0"/>
        <w:spacing w:line="1" w:lineRule="exact"/>
        <w:sectPr>
          <w:headerReference w:type="default" r:id="rId9"/>
          <w:footerReference w:type="default" r:id="rId10"/>
          <w:footnotePr>
            <w:pos w:val="pageBottom"/>
            <w:numFmt w:val="decimal"/>
            <w:numRestart w:val="continuous"/>
          </w:footnotePr>
          <w:pgSz w:w="11900" w:h="16840"/>
          <w:pgMar w:top="1158" w:right="533" w:bottom="1331" w:left="1101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533400" distB="356235" distL="0" distR="0" simplePos="0" relativeHeight="125829382" behindDoc="0" locked="0" layoutInCell="1" allowOverlap="1">
                <wp:simplePos x="0" y="0"/>
                <wp:positionH relativeFrom="page">
                  <wp:posOffset>732155</wp:posOffset>
                </wp:positionH>
                <wp:positionV relativeFrom="paragraph">
                  <wp:posOffset>533400</wp:posOffset>
                </wp:positionV>
                <wp:extent cx="1850390" cy="250190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5039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57.649999999999999pt;margin-top:42.pt;width:145.70000000000002pt;height:19.699999999999999pt;z-index:-125829371;mso-wrap-distance-left:0;mso-wrap-distance-top:42.pt;mso-wrap-distance-right:0;mso-wrap-distance-bottom:28.050000000000001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570230" distB="0" distL="0" distR="1789430" simplePos="0" relativeHeight="125829384" behindDoc="0" locked="0" layoutInCell="1" allowOverlap="1">
            <wp:simplePos x="0" y="0"/>
            <wp:positionH relativeFrom="page">
              <wp:posOffset>3070225</wp:posOffset>
            </wp:positionH>
            <wp:positionV relativeFrom="paragraph">
              <wp:posOffset>570230</wp:posOffset>
            </wp:positionV>
            <wp:extent cx="389890" cy="572770"/>
            <wp:wrapTopAndBottom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3566795</wp:posOffset>
                </wp:positionH>
                <wp:positionV relativeFrom="paragraph">
                  <wp:posOffset>1009015</wp:posOffset>
                </wp:positionV>
                <wp:extent cx="1280160" cy="100330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80.85000000000002pt;margin-top:79.450000000000003pt;width:100.8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3521075</wp:posOffset>
                </wp:positionH>
                <wp:positionV relativeFrom="paragraph">
                  <wp:posOffset>695325</wp:posOffset>
                </wp:positionV>
                <wp:extent cx="1725295" cy="255905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77.25pt;margin-top:54.75pt;width:135.84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533400" distB="356235" distL="0" distR="0" simplePos="0" relativeHeight="125829385" behindDoc="0" locked="0" layoutInCell="1" allowOverlap="1">
                <wp:simplePos x="0" y="0"/>
                <wp:positionH relativeFrom="page">
                  <wp:posOffset>6181725</wp:posOffset>
                </wp:positionH>
                <wp:positionV relativeFrom="paragraph">
                  <wp:posOffset>533400</wp:posOffset>
                </wp:positionV>
                <wp:extent cx="1029970" cy="250190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2997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С.И. Казарин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486.75pt;margin-top:42.pt;width:81.100000000000009pt;height:19.699999999999999pt;z-index:-125829368;mso-wrap-distance-left:0;mso-wrap-distance-top:42.pt;mso-wrap-distance-right:0;mso-wrap-distance-bottom:28.050000000000001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С.И. Казарин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3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 xml:space="preserve">КАЗАРИН </w:t>
      </w: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СЕРГЕЙ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ИГОРЕВИЧ</w:t>
      </w:r>
    </w:p>
    <w:p>
      <w:pPr>
        <w:pStyle w:val="Style3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32333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32333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000590946031СЕ073ВЕ5С5П6ЕЕ7501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0760</w:t>
      </w:r>
    </w:p>
    <w:p>
      <w:pPr>
        <w:pStyle w:val="Style34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32333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12.03.2024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05.06.2025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0" w:right="0" w:firstLine="0"/>
        <w:jc w:val="right"/>
      </w:pPr>
      <w:r>
        <w:drawing>
          <wp:anchor distT="0" distB="0" distL="114300" distR="1903730" simplePos="0" relativeHeight="125829387" behindDoc="0" locked="0" layoutInCell="1" allowOverlap="1">
            <wp:simplePos x="0" y="0"/>
            <wp:positionH relativeFrom="page">
              <wp:posOffset>3103880</wp:posOffset>
            </wp:positionH>
            <wp:positionV relativeFrom="paragraph">
              <wp:posOffset>63500</wp:posOffset>
            </wp:positionV>
            <wp:extent cx="353695" cy="536575"/>
            <wp:wrapSquare wrapText="right"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3567430</wp:posOffset>
                </wp:positionH>
                <wp:positionV relativeFrom="paragraph">
                  <wp:posOffset>466090</wp:posOffset>
                </wp:positionV>
                <wp:extent cx="1280160" cy="103505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8E8E8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</w:t>
                            </w: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80.90000000000003pt;margin-top:36.700000000000003pt;width:100.8pt;height:8.15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8E8E8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СВЕДЕНИЯ </w:t>
                      </w: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3521710</wp:posOffset>
                </wp:positionH>
                <wp:positionV relativeFrom="paragraph">
                  <wp:posOffset>154940</wp:posOffset>
                </wp:positionV>
                <wp:extent cx="1725295" cy="255905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77.30000000000001pt;margin-top:12.200000000000001pt;width:135.84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Е.Д. Мартьянова</w:t>
      </w:r>
    </w:p>
    <w:p>
      <w:pPr>
        <w:pStyle w:val="Style3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Мартьянова Елена Дмитриевна</w:t>
      </w:r>
    </w:p>
    <w:p>
      <w:pPr>
        <w:pStyle w:val="Style3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7272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4B4A4A"/>
          <w:spacing w:val="0"/>
          <w:w w:val="100"/>
          <w:position w:val="0"/>
          <w:shd w:val="clear" w:color="auto" w:fill="auto"/>
          <w:lang w:val="ru-RU" w:eastAsia="ru-RU" w:bidi="ru-RU"/>
        </w:rPr>
        <w:t>0092302А1Е2Е82694604ЕЕЕ772202557ЕЕ</w:t>
      </w:r>
    </w:p>
    <w:p>
      <w:pPr>
        <w:pStyle w:val="Style34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27272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05.12.2023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4B4A4A"/>
          <w:spacing w:val="0"/>
          <w:w w:val="100"/>
          <w:position w:val="0"/>
          <w:shd w:val="clear" w:color="auto" w:fill="auto"/>
          <w:lang w:val="ru-RU" w:eastAsia="ru-RU" w:bidi="ru-RU"/>
        </w:rPr>
        <w:t>27.02.2025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0" w:right="0" w:firstLine="0"/>
        <w:jc w:val="right"/>
      </w:pPr>
      <w:r>
        <w:drawing>
          <wp:anchor distT="0" distB="0" distL="114300" distR="1903730" simplePos="0" relativeHeight="125829388" behindDoc="0" locked="0" layoutInCell="1" allowOverlap="1">
            <wp:simplePos x="0" y="0"/>
            <wp:positionH relativeFrom="page">
              <wp:posOffset>3070225</wp:posOffset>
            </wp:positionH>
            <wp:positionV relativeFrom="paragraph">
              <wp:posOffset>25400</wp:posOffset>
            </wp:positionV>
            <wp:extent cx="389890" cy="572770"/>
            <wp:wrapSquare wrapText="right"/>
            <wp:docPr id="29" name="Shape 2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box 30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3566795</wp:posOffset>
                </wp:positionH>
                <wp:positionV relativeFrom="paragraph">
                  <wp:posOffset>464185</wp:posOffset>
                </wp:positionV>
                <wp:extent cx="1280160" cy="100330"/>
                <wp:wrapNone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8E8E8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О СЕРТИФИКАТЕ </w:t>
                            </w: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280.85000000000002pt;margin-top:36.550000000000004pt;width:100.8pt;height:7.9000000000000004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8E8E8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СВЕДЕНИЯ О СЕРТИФИКАТЕ </w:t>
                      </w: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3521075</wp:posOffset>
                </wp:positionH>
                <wp:positionV relativeFrom="paragraph">
                  <wp:posOffset>153670</wp:posOffset>
                </wp:positionV>
                <wp:extent cx="1725295" cy="255905"/>
                <wp:wrapNone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277.25pt;margin-top:12.1pt;width:135.84999999999999pt;height:20.150000000000002pt;z-index:25165773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О.А. Челнова</w:t>
      </w:r>
    </w:p>
    <w:p>
      <w:pPr>
        <w:pStyle w:val="Style3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Челнова Олеся Антоновна</w:t>
      </w:r>
    </w:p>
    <w:p>
      <w:pPr>
        <w:pStyle w:val="Style3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7272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4B4A4A"/>
          <w:spacing w:val="0"/>
          <w:w w:val="100"/>
          <w:position w:val="0"/>
          <w:shd w:val="clear" w:color="auto" w:fill="auto"/>
          <w:lang w:val="ru-RU" w:eastAsia="ru-RU" w:bidi="ru-RU"/>
        </w:rPr>
        <w:t>218С2Е7ОЗЕ7Е88445А841АСЕ73Е4О187</w:t>
      </w:r>
    </w:p>
    <w:p>
      <w:pPr>
        <w:pStyle w:val="Style34"/>
        <w:keepNext w:val="0"/>
        <w:keepLines w:val="0"/>
        <w:widowControl w:val="0"/>
        <w:shd w:val="clear" w:color="auto" w:fill="auto"/>
        <w:bidi w:val="0"/>
        <w:spacing w:before="0" w:after="300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10.04.2024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04.07.2025</w:t>
      </w:r>
    </w:p>
    <w:p>
      <w:pPr>
        <w:pStyle w:val="Style41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Исп.Челнова О.А. тел.(495) 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58" w:right="527" w:bottom="1158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10217150</wp:posOffset>
              </wp:positionV>
              <wp:extent cx="725170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2024-45810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7.pt;margin-top:804.5pt;width:57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2024-45810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723265</wp:posOffset>
              </wp:positionH>
              <wp:positionV relativeFrom="page">
                <wp:posOffset>10092690</wp:posOffset>
              </wp:positionV>
              <wp:extent cx="722630" cy="100330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2024-45810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56.950000000000003pt;margin-top:794.70000000000005pt;width:56.899999999999999pt;height:7.9000000000000004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2024-45810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3926205</wp:posOffset>
              </wp:positionH>
              <wp:positionV relativeFrom="page">
                <wp:posOffset>422910</wp:posOffset>
              </wp:positionV>
              <wp:extent cx="67310" cy="103505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309.15000000000003pt;margin-top:33.299999999999997pt;width:5.2999999999999998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3926840</wp:posOffset>
              </wp:positionH>
              <wp:positionV relativeFrom="page">
                <wp:posOffset>476250</wp:posOffset>
              </wp:positionV>
              <wp:extent cx="57785" cy="103505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78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309.19999999999999pt;margin-top:37.5pt;width:4.5499999999999998pt;height:8.15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character" w:customStyle="1" w:styleId="CharStyle6">
    <w:name w:val="Колонтитул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9">
    <w:name w:val="Основной текст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2">
    <w:name w:val="Заголовок №2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6">
    <w:name w:val="Заголовок №1_"/>
    <w:basedOn w:val="DefaultParagraphFont"/>
    <w:link w:val="Style15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19">
    <w:name w:val="Подпись к картинке_"/>
    <w:basedOn w:val="DefaultParagraphFont"/>
    <w:link w:val="Style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72727"/>
      <w:sz w:val="12"/>
      <w:szCs w:val="12"/>
      <w:u w:val="none"/>
    </w:rPr>
  </w:style>
  <w:style w:type="character" w:customStyle="1" w:styleId="CharStyle24">
    <w:name w:val="Другое_"/>
    <w:basedOn w:val="DefaultParagraphFont"/>
    <w:link w:val="Style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35">
    <w:name w:val="Основной текст (2)_"/>
    <w:basedOn w:val="DefaultParagraphFont"/>
    <w:link w:val="Style34"/>
    <w:rPr>
      <w:rFonts w:ascii="Arial" w:eastAsia="Arial" w:hAnsi="Arial" w:cs="Arial"/>
      <w:b w:val="0"/>
      <w:bCs w:val="0"/>
      <w:i w:val="0"/>
      <w:iCs w:val="0"/>
      <w:smallCaps w:val="0"/>
      <w:strike w:val="0"/>
      <w:color w:val="676767"/>
      <w:sz w:val="12"/>
      <w:szCs w:val="12"/>
      <w:u w:val="none"/>
    </w:rPr>
  </w:style>
  <w:style w:type="character" w:customStyle="1" w:styleId="CharStyle42">
    <w:name w:val="Основной текст (4)_"/>
    <w:basedOn w:val="DefaultParagraphFont"/>
    <w:link w:val="Style4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Основной текст (3)"/>
    <w:basedOn w:val="Normal"/>
    <w:link w:val="CharStyle3"/>
    <w:pPr>
      <w:widowControl w:val="0"/>
      <w:shd w:val="clear" w:color="auto" w:fill="auto"/>
      <w:spacing w:after="10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paragraph" w:customStyle="1" w:styleId="Style5">
    <w:name w:val="Колонтитул (2)"/>
    <w:basedOn w:val="Normal"/>
    <w:link w:val="CharStyle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8">
    <w:name w:val="Основной текст"/>
    <w:basedOn w:val="Normal"/>
    <w:link w:val="CharStyle9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1">
    <w:name w:val="Заголовок №2"/>
    <w:basedOn w:val="Normal"/>
    <w:link w:val="CharStyle12"/>
    <w:pPr>
      <w:widowControl w:val="0"/>
      <w:shd w:val="clear" w:color="auto" w:fill="auto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customStyle="1" w:styleId="Style15">
    <w:name w:val="Заголовок №1"/>
    <w:basedOn w:val="Normal"/>
    <w:link w:val="CharStyle16"/>
    <w:pPr>
      <w:widowControl w:val="0"/>
      <w:shd w:val="clear" w:color="auto" w:fill="auto"/>
      <w:spacing w:after="660"/>
      <w:ind w:firstLine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paragraph" w:customStyle="1" w:styleId="Style18">
    <w:name w:val="Подпись к картинке"/>
    <w:basedOn w:val="Normal"/>
    <w:link w:val="CharStyle19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72727"/>
      <w:sz w:val="12"/>
      <w:szCs w:val="12"/>
      <w:u w:val="none"/>
    </w:rPr>
  </w:style>
  <w:style w:type="paragraph" w:customStyle="1" w:styleId="Style23">
    <w:name w:val="Другое"/>
    <w:basedOn w:val="Normal"/>
    <w:link w:val="CharStyle24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34">
    <w:name w:val="Основной текст (2)"/>
    <w:basedOn w:val="Normal"/>
    <w:link w:val="CharStyle35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676767"/>
      <w:sz w:val="12"/>
      <w:szCs w:val="12"/>
      <w:u w:val="none"/>
    </w:rPr>
  </w:style>
  <w:style w:type="paragraph" w:customStyle="1" w:styleId="Style41">
    <w:name w:val="Основной текст (4)"/>
    <w:basedOn w:val="Normal"/>
    <w:link w:val="CharStyle42"/>
    <w:pPr>
      <w:widowControl w:val="0"/>
      <w:shd w:val="clear" w:color="auto" w:fill="auto"/>
      <w:spacing w:after="4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header" Target="header2.xml"/><Relationship Id="rId8" Type="http://schemas.openxmlformats.org/officeDocument/2006/relationships/footer" Target="footer2.xml"/><Relationship Id="rId9" Type="http://schemas.openxmlformats.org/officeDocument/2006/relationships/header" Target="header3.xml"/><Relationship Id="rId10" Type="http://schemas.openxmlformats.org/officeDocument/2006/relationships/footer" Target="footer3.xml"/><Relationship Id="rId11" Type="http://schemas.openxmlformats.org/officeDocument/2006/relationships/image" Target="media/image1.jpeg"/><Relationship Id="rId12" Type="http://schemas.openxmlformats.org/officeDocument/2006/relationships/image" Target="media/image1.jpeg" TargetMode="External"/><Relationship Id="rId13" Type="http://schemas.openxmlformats.org/officeDocument/2006/relationships/image" Target="media/image2.jpeg"/><Relationship Id="rId14" Type="http://schemas.openxmlformats.org/officeDocument/2006/relationships/image" Target="media/image2.jpeg" TargetMode="External"/><Relationship Id="rId15" Type="http://schemas.openxmlformats.org/officeDocument/2006/relationships/image" Target="media/image3.jpeg"/><Relationship Id="rId16" Type="http://schemas.openxmlformats.org/officeDocument/2006/relationships/image" Target="media/image3.jpeg" TargetMode="External"/></Relationships>
</file>