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1784350</wp:posOffset>
            </wp:positionH>
            <wp:positionV relativeFrom="margin">
              <wp:posOffset>0</wp:posOffset>
            </wp:positionV>
            <wp:extent cx="511810" cy="56070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60705"/>
                    </a:xfrm>
                    <a:prstGeom prst="rect"/>
                  </pic:spPr>
                </pic:pic>
              </a:graphicData>
            </a:graphic>
          </wp:anchor>
        </w:drawing>
      </w:r>
    </w:p>
    <w:p>
      <w:pPr>
        <w:widowControl w:val="0"/>
        <w:spacing w:after="522"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8" w:right="536" w:bottom="649" w:left="1106" w:header="0" w:footer="3" w:gutter="0"/>
          <w:pgNumType w:start="1"/>
          <w:cols w:space="720"/>
          <w:noEndnote/>
          <w:titlePg/>
          <w:rtlGutter w:val="0"/>
          <w:docGrid w:linePitch="360"/>
        </w:sectPr>
      </w:pPr>
    </w:p>
    <w:p>
      <w:pPr>
        <w:pStyle w:val="Style9"/>
        <w:keepNext w:val="0"/>
        <w:keepLines w:val="0"/>
        <w:widowControl w:val="0"/>
        <w:shd w:val="clear" w:color="auto" w:fill="auto"/>
        <w:bidi w:val="0"/>
        <w:spacing w:before="0" w:after="0" w:line="480" w:lineRule="auto"/>
        <w:ind w:left="1020" w:right="0" w:firstLine="0"/>
        <w:jc w:val="both"/>
      </w:pPr>
      <w:r>
        <mc:AlternateContent>
          <mc:Choice Requires="wps">
            <w:drawing>
              <wp:anchor distT="0" distB="2343785" distL="403860" distR="373380" simplePos="0" relativeHeight="125829378" behindDoc="0" locked="0" layoutInCell="1" allowOverlap="1">
                <wp:simplePos x="0" y="0"/>
                <wp:positionH relativeFrom="page">
                  <wp:posOffset>1016635</wp:posOffset>
                </wp:positionH>
                <wp:positionV relativeFrom="paragraph">
                  <wp:posOffset>50800</wp:posOffset>
                </wp:positionV>
                <wp:extent cx="2045335" cy="301625"/>
                <wp:wrapSquare wrapText="right"/>
                <wp:docPr id="9" name="Shape 9"/>
                <a:graphic xmlns:a="http://schemas.openxmlformats.org/drawingml/2006/main">
                  <a:graphicData uri="http://schemas.microsoft.com/office/word/2010/wordprocessingShape">
                    <wps:wsp>
                      <wps:cNvSpPr txBox="1"/>
                      <wps:spPr>
                        <a:xfrm>
                          <a:ext cx="2045335" cy="30162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txbxContent>
                      </wps:txbx>
                      <wps:bodyPr lIns="0" tIns="0" rIns="0" bIns="0">
                        <a:noAutoFit/>
                      </wps:bodyPr>
                    </wps:wsp>
                  </a:graphicData>
                </a:graphic>
              </wp:anchor>
            </w:drawing>
          </mc:Choice>
          <mc:Fallback>
            <w:pict>
              <v:shape id="_x0000_s1035" type="#_x0000_t202" style="position:absolute;margin-left:80.049999999999997pt;margin-top:4.pt;width:161.05000000000001pt;height:23.75pt;z-index:-125829375;mso-wrap-distance-left:31.800000000000001pt;mso-wrap-distance-right:29.400000000000002pt;mso-wrap-distance-bottom:184.550000000000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txbxContent>
                </v:textbox>
                <w10:wrap type="square" side="right" anchorx="page"/>
              </v:shape>
            </w:pict>
          </mc:Fallback>
        </mc:AlternateContent>
      </w:r>
      <w:r>
        <mc:AlternateContent>
          <mc:Choice Requires="wps">
            <w:drawing>
              <wp:anchor distT="423545" distB="813435" distL="193675" distR="193675" simplePos="0" relativeHeight="125829380" behindDoc="0" locked="0" layoutInCell="1" allowOverlap="1">
                <wp:simplePos x="0" y="0"/>
                <wp:positionH relativeFrom="page">
                  <wp:posOffset>806450</wp:posOffset>
                </wp:positionH>
                <wp:positionV relativeFrom="paragraph">
                  <wp:posOffset>474345</wp:posOffset>
                </wp:positionV>
                <wp:extent cx="2435225" cy="1408430"/>
                <wp:wrapSquare wrapText="right"/>
                <wp:docPr id="11" name="Shape 11"/>
                <a:graphic xmlns:a="http://schemas.openxmlformats.org/drawingml/2006/main">
                  <a:graphicData uri="http://schemas.microsoft.com/office/word/2010/wordprocessingShape">
                    <wps:wsp>
                      <wps:cNvSpPr txBox="1"/>
                      <wps:spPr>
                        <a:xfrm>
                          <a:ext cx="2435225" cy="1408430"/>
                        </a:xfrm>
                        <a:prstGeom prst="rect"/>
                        <a:noFill/>
                      </wps:spPr>
                      <wps:txbx>
                        <w:txbxContent>
                          <w:p>
                            <w:pPr>
                              <w:pStyle w:val="Style5"/>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9"/>
                              <w:keepNext w:val="0"/>
                              <w:keepLines w:val="0"/>
                              <w:widowControl w:val="0"/>
                              <w:shd w:val="clear" w:color="auto" w:fill="auto"/>
                              <w:tabs>
                                <w:tab w:pos="1838" w:val="left"/>
                              </w:tabs>
                              <w:bidi w:val="0"/>
                              <w:spacing w:before="0" w:after="180" w:line="240" w:lineRule="auto"/>
                              <w:ind w:left="0" w:right="0" w:firstLine="0"/>
                              <w:jc w:val="left"/>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01.10.2024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40364/24</w:t>
                            </w:r>
                          </w:p>
                        </w:txbxContent>
                      </wps:txbx>
                      <wps:bodyPr lIns="0" tIns="0" rIns="0" bIns="0">
                        <a:noAutoFit/>
                      </wps:bodyPr>
                    </wps:wsp>
                  </a:graphicData>
                </a:graphic>
              </wp:anchor>
            </w:drawing>
          </mc:Choice>
          <mc:Fallback>
            <w:pict>
              <v:shape id="_x0000_s1037" type="#_x0000_t202" style="position:absolute;margin-left:63.5pt;margin-top:37.350000000000001pt;width:191.75pt;height:110.90000000000001pt;z-index:-125829373;mso-wrap-distance-left:15.25pt;mso-wrap-distance-top:33.350000000000001pt;mso-wrap-distance-right:15.25pt;mso-wrap-distance-bottom:64.049999999999997pt;mso-position-horizontal-relative:page" filled="f" stroked="f">
                <v:textbox inset="0,0,0,0">
                  <w:txbxContent>
                    <w:p>
                      <w:pPr>
                        <w:pStyle w:val="Style5"/>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9"/>
                        <w:keepNext w:val="0"/>
                        <w:keepLines w:val="0"/>
                        <w:widowControl w:val="0"/>
                        <w:shd w:val="clear" w:color="auto" w:fill="auto"/>
                        <w:tabs>
                          <w:tab w:pos="1838" w:val="left"/>
                        </w:tabs>
                        <w:bidi w:val="0"/>
                        <w:spacing w:before="0" w:after="180" w:line="240" w:lineRule="auto"/>
                        <w:ind w:left="0" w:right="0" w:firstLine="0"/>
                        <w:jc w:val="left"/>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01.10.2024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40364/24</w:t>
                      </w:r>
                    </w:p>
                  </w:txbxContent>
                </v:textbox>
                <w10:wrap type="square" side="right" anchorx="page"/>
              </v:shape>
            </w:pict>
          </mc:Fallback>
        </mc:AlternateContent>
      </w:r>
      <w:r>
        <w:drawing>
          <wp:anchor distT="1947545" distB="0" distL="114300" distR="114300" simplePos="0" relativeHeight="125829382" behindDoc="0" locked="0" layoutInCell="1" allowOverlap="1">
            <wp:simplePos x="0" y="0"/>
            <wp:positionH relativeFrom="page">
              <wp:posOffset>727075</wp:posOffset>
            </wp:positionH>
            <wp:positionV relativeFrom="paragraph">
              <wp:posOffset>1998345</wp:posOffset>
            </wp:positionV>
            <wp:extent cx="2597150" cy="701040"/>
            <wp:wrapSquare wrapText="right"/>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1"/>
                    <a:stretch/>
                  </pic:blipFill>
                  <pic:spPr>
                    <a:xfrm>
                      <a:ext cx="2597150" cy="701040"/>
                    </a:xfrm>
                    <a:prstGeom prst="rect"/>
                  </pic:spPr>
                </pic:pic>
              </a:graphicData>
            </a:graphic>
          </wp:anchor>
        </w:drawing>
      </w:r>
      <w:r>
        <w:rPr>
          <w:color w:val="000000"/>
          <w:spacing w:val="0"/>
          <w:w w:val="100"/>
          <w:position w:val="0"/>
          <w:shd w:val="clear" w:color="auto" w:fill="auto"/>
          <w:lang w:val="ru-RU" w:eastAsia="ru-RU" w:bidi="ru-RU"/>
        </w:rPr>
        <w:t>Мосжилинспекция тдь1епдег@то8.ги ООО «Ремстрой» геет§81;8@тай.ги</w:t>
      </w:r>
    </w:p>
    <w:p>
      <w:pPr>
        <w:pStyle w:val="Style9"/>
        <w:keepNext w:val="0"/>
        <w:keepLines w:val="0"/>
        <w:widowControl w:val="0"/>
        <w:shd w:val="clear" w:color="auto" w:fill="auto"/>
        <w:bidi w:val="0"/>
        <w:spacing w:before="0" w:after="1060" w:line="480" w:lineRule="auto"/>
        <w:ind w:left="1020" w:right="0" w:firstLine="0"/>
        <w:jc w:val="left"/>
      </w:pPr>
      <w:r>
        <w:rPr>
          <w:color w:val="000000"/>
          <w:spacing w:val="0"/>
          <w:w w:val="100"/>
          <w:position w:val="0"/>
          <w:shd w:val="clear" w:color="auto" w:fill="auto"/>
          <w:lang w:val="ru-RU" w:eastAsia="ru-RU" w:bidi="ru-RU"/>
        </w:rPr>
        <w:t>АО «ЕЭТП» ко@го8екогд.ги</w:t>
      </w:r>
    </w:p>
    <w:p>
      <w:pPr>
        <w:pStyle w:val="Style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9"/>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hd w:val="clear" w:color="auto" w:fill="auto"/>
          <w:lang w:val="ru-RU" w:eastAsia="ru-RU" w:bidi="ru-RU"/>
        </w:rPr>
        <w:t>по делу № 077/06/106-13114/2024 о нарушении</w:t>
        <w:br/>
        <w:t>законодательства о контрактной системе</w:t>
      </w:r>
    </w:p>
    <w:p>
      <w:pPr>
        <w:pStyle w:val="Style9"/>
        <w:keepNext w:val="0"/>
        <w:keepLines w:val="0"/>
        <w:widowControl w:val="0"/>
        <w:shd w:val="clear" w:color="auto" w:fill="auto"/>
        <w:tabs>
          <w:tab w:pos="8952" w:val="left"/>
        </w:tabs>
        <w:bidi w:val="0"/>
        <w:spacing w:before="0" w:after="0" w:line="240" w:lineRule="auto"/>
        <w:ind w:left="0" w:right="0" w:firstLine="0"/>
        <w:jc w:val="both"/>
      </w:pPr>
      <w:r>
        <w:rPr>
          <w:b/>
          <w:bCs/>
          <w:color w:val="000000"/>
          <w:spacing w:val="0"/>
          <w:w w:val="100"/>
          <w:position w:val="0"/>
          <w:shd w:val="clear" w:color="auto" w:fill="auto"/>
          <w:lang w:val="ru-RU" w:eastAsia="ru-RU" w:bidi="ru-RU"/>
        </w:rPr>
        <w:t>30.09.2024</w:t>
        <w:tab/>
        <w:t>г. Москва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(далее - Комиссия Управления) в составе: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С.И. Казарина,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9"/>
        <w:keepNext w:val="0"/>
        <w:keepLines w:val="0"/>
        <w:widowControl w:val="0"/>
        <w:shd w:val="clear" w:color="auto" w:fill="auto"/>
        <w:bidi w:val="0"/>
        <w:spacing w:before="0" w:after="0" w:line="233" w:lineRule="auto"/>
        <w:ind w:left="0" w:right="0" w:firstLine="70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Е.Д. Мартьяновой,</w:t>
      </w:r>
    </w:p>
    <w:p>
      <w:pPr>
        <w:pStyle w:val="Style9"/>
        <w:keepNext w:val="0"/>
        <w:keepLines w:val="0"/>
        <w:widowControl w:val="0"/>
        <w:shd w:val="clear" w:color="auto" w:fill="auto"/>
        <w:bidi w:val="0"/>
        <w:spacing w:before="0" w:after="0" w:line="233" w:lineRule="auto"/>
        <w:ind w:left="0" w:right="0" w:firstLine="70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Э.З. Гугава,</w:t>
      </w:r>
    </w:p>
    <w:p>
      <w:pPr>
        <w:pStyle w:val="Style9"/>
        <w:keepNext w:val="0"/>
        <w:keepLines w:val="0"/>
        <w:widowControl w:val="0"/>
        <w:shd w:val="clear" w:color="auto" w:fill="auto"/>
        <w:bidi w:val="0"/>
        <w:spacing w:before="0" w:after="0" w:line="233"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участии представителей: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Мосжилинспекции: А.Н. Дородных (по дов. № 2-и от 18.01.2024),</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Тендерного комитета: А.А. Арзуманян (по дов. № 77-13-1/24-2 от 09.01.2024), В.В. Османович (по дов. № 77-13-1/24-19 от 06.02.2024),</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отсутствии представителей ООО «Ремстрой», о времени и порядке заседания Комиссии Управления уведомленных надлежащим образом посредством размещения информации в Единой информационной системе,</w:t>
      </w:r>
    </w:p>
    <w:p>
      <w:pPr>
        <w:pStyle w:val="Style9"/>
        <w:keepNext w:val="0"/>
        <w:keepLines w:val="0"/>
        <w:widowControl w:val="0"/>
        <w:shd w:val="clear" w:color="auto" w:fill="auto"/>
        <w:bidi w:val="0"/>
        <w:spacing w:before="0" w:after="360" w:line="240" w:lineRule="auto"/>
        <w:ind w:left="0" w:right="0" w:firstLine="700"/>
        <w:jc w:val="both"/>
      </w:pPr>
      <w:r>
        <w:rPr>
          <w:color w:val="000000"/>
          <w:spacing w:val="0"/>
          <w:w w:val="100"/>
          <w:position w:val="0"/>
          <w:shd w:val="clear" w:color="auto" w:fill="auto"/>
          <w:lang w:val="ru-RU" w:eastAsia="ru-RU" w:bidi="ru-RU"/>
        </w:rPr>
        <w:t>рассмотрев жалобу ООО «Ремстрой» (далее — Заявитель) на действия Мосжилинспекции (далее — Заказчик) при проведении электронного аукциона на право заключения государственного контракта на выполнение работ по установке системы контроля и управления доступом (СКУД) (Закупка № 0173200001324000028) (далее - аукцион), в соответствии с Федеральным законом</w:t>
      </w:r>
    </w:p>
    <w:p>
      <w:pPr>
        <w:pStyle w:val="Style17"/>
        <w:keepNext/>
        <w:keepLines/>
        <w:widowControl w:val="0"/>
        <w:shd w:val="clear" w:color="auto" w:fill="auto"/>
        <w:bidi w:val="0"/>
        <w:spacing w:before="0" w:after="240" w:line="240" w:lineRule="auto"/>
        <w:ind w:left="0" w:right="0"/>
        <w:jc w:val="both"/>
        <w:rPr>
          <w:sz w:val="28"/>
          <w:szCs w:val="28"/>
        </w:rPr>
      </w:pPr>
      <w:bookmarkStart w:id="0" w:name="bookmark0"/>
      <w:r>
        <w:rPr>
          <w:color w:val="000000"/>
          <w:spacing w:val="0"/>
          <w:w w:val="100"/>
          <w:position w:val="0"/>
          <w:sz w:val="34"/>
          <w:szCs w:val="34"/>
          <w:shd w:val="clear" w:color="auto" w:fill="auto"/>
          <w:lang w:val="ru-RU" w:eastAsia="ru-RU" w:bidi="ru-RU"/>
        </w:rPr>
        <w:t>||||||||||||||||||||||||||||</w:t>
      </w:r>
      <w:bookmarkEnd w:id="0"/>
      <w:r>
        <w:rPr>
          <w:color w:val="000000"/>
          <w:spacing w:val="0"/>
          <w:w w:val="100"/>
          <w:position w:val="0"/>
          <w:sz w:val="34"/>
          <w:szCs w:val="34"/>
          <w:shd w:val="clear" w:color="auto" w:fill="auto"/>
          <w:lang w:val="ru-RU" w:eastAsia="ru-RU" w:bidi="ru-RU"/>
        </w:rPr>
        <w:t xml:space="preserve"> </w:t>
      </w:r>
      <w:r>
        <w:rPr>
          <w:rStyle w:val="CharStyle10"/>
        </w:rPr>
        <w:t>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9"/>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электронного аукциона.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Московским УФАС России, Комиссия Управления установила следующее.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Заявитель обжалует действия Заказчика, выразившиеся в утверждении извещения о проведении закупки в нарушение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составе жалобы Заявитель указывает, что в составе извещения Заказчиком установлено требование о предоставлении в составе заявки товарного знака, конкретных показателей товара, что является правомерным исключительно при поставке товара, при этом в данной закупке отсутствуют сведения помимо выполнения работ по установке системы контроля и управления доступом о необходимости поставке товара, а также отсутствуют условия в соответствии со ст. 34 Закона о контрактной системе о сроках осуществления Заказчиком приемки и оплаты поставленного товара.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Кроме того, Заявитель также указывает, что в случае осуществления поставки товара в рамках данной закупочной процедуры Заказчиком неправомерно не установлено требование о предоставлении в составе заявки информации и документов, предусмотренных постановлением Правительства Российской Федерации от 10.07.2020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№878).</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п.1, п.3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П.1 ч.1 ст.33 Закона о контрактной системе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w:t>
      </w:r>
      <w:r>
        <w:rPr>
          <w:color w:val="000000"/>
          <w:spacing w:val="0"/>
          <w:w w:val="100"/>
          <w:position w:val="0"/>
          <w:shd w:val="clear" w:color="auto" w:fill="auto"/>
          <w:lang w:val="ru-RU" w:eastAsia="ru-RU" w:bidi="ru-RU"/>
        </w:rPr>
        <w:t>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Комиссией Управления установлено, что объектом данного аукциона является выполнение работ по установке системы контроля и управления доступом (СКУД).</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Также Комиссией Управления установлено, что Приложением 1 к Техническому заданию «Перечень объектов закупки» установлен перечень объектов закупки, который включает в себя исключительно монтаж оборудования системы контроля и управления доступом.</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На основании п.15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В силу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Пунктом 2 постановления № 878 утвержден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Перечень).</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Управления отмечает, что условием установления ограничений для целей осуществления закупок для обеспечения государственных и муниципальных нужд, предусмотренных постановлением №878, является нахождение товара в утвержденном постановлением Перечне, при этом выбранный Заказчиком код ОКПД2, в частности, 26.30.50.119 входит в Перечень, следовательно Заказчиком неправомерно не установлено в составе извещения ограничение допуска в соответствии с постановлением № 878.</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п.2 ч.1 ст.43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9"/>
        <w:keepNext w:val="0"/>
        <w:keepLines w:val="0"/>
        <w:widowControl w:val="0"/>
        <w:numPr>
          <w:ilvl w:val="0"/>
          <w:numId w:val="1"/>
        </w:numPr>
        <w:shd w:val="clear" w:color="auto" w:fill="auto"/>
        <w:tabs>
          <w:tab w:pos="102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 учетом положений ч.2 ст.43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ч.2 ст.33 Закона о контрактной системе, товарный знак (при наличии у товара товарного знака);</w:t>
      </w:r>
    </w:p>
    <w:p>
      <w:pPr>
        <w:pStyle w:val="Style9"/>
        <w:keepNext w:val="0"/>
        <w:keepLines w:val="0"/>
        <w:widowControl w:val="0"/>
        <w:numPr>
          <w:ilvl w:val="0"/>
          <w:numId w:val="1"/>
        </w:numPr>
        <w:shd w:val="clear" w:color="auto" w:fill="auto"/>
        <w:tabs>
          <w:tab w:pos="104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ч.2 ст.43 Закона о контрактной системе;</w:t>
      </w:r>
    </w:p>
    <w:p>
      <w:pPr>
        <w:pStyle w:val="Style9"/>
        <w:keepNext w:val="0"/>
        <w:keepLines w:val="0"/>
        <w:widowControl w:val="0"/>
        <w:numPr>
          <w:ilvl w:val="0"/>
          <w:numId w:val="1"/>
        </w:numPr>
        <w:shd w:val="clear" w:color="auto" w:fill="auto"/>
        <w:tabs>
          <w:tab w:pos="103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Законом о контрактной системе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9"/>
        <w:keepNext w:val="0"/>
        <w:keepLines w:val="0"/>
        <w:widowControl w:val="0"/>
        <w:numPr>
          <w:ilvl w:val="0"/>
          <w:numId w:val="1"/>
        </w:numPr>
        <w:shd w:val="clear" w:color="auto" w:fill="auto"/>
        <w:tabs>
          <w:tab w:pos="101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 учетом положений ч.2 ст.43 Закона о контрактной системе предложение по критериям, предусмотренным п.2 и (или) 3 ч.1 ст.32 Закона о контрактной системе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9"/>
        <w:keepNext w:val="0"/>
        <w:keepLines w:val="0"/>
        <w:widowControl w:val="0"/>
        <w:numPr>
          <w:ilvl w:val="0"/>
          <w:numId w:val="1"/>
        </w:numPr>
        <w:shd w:val="clear" w:color="auto" w:fill="auto"/>
        <w:tabs>
          <w:tab w:pos="103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Согласно п.1 ч.2 ст.43 Закона о контрактной системе при формировании предложения участника закупки в отношении объекта закупки информация о товаре, предусмотренная пп.«а» и «б» п.2 ч.1 ст.43 Закона о контрактной системе,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w:t>
      </w:r>
      <w:r>
        <w:rPr>
          <w:color w:val="000000"/>
          <w:spacing w:val="0"/>
          <w:w w:val="100"/>
          <w:position w:val="0"/>
          <w:shd w:val="clear" w:color="auto" w:fill="auto"/>
          <w:lang w:val="ru-RU" w:eastAsia="ru-RU" w:bidi="ru-RU"/>
        </w:rPr>
        <w:t>закупаемых услуг. Информация, предусмотренная пп.«а» п.2 ч.1 ст.43 Закона о контрактной системе,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установлено, что в пп.4 п.13 Информационной карты по проведению аукциона в электронной форме в «Требованиях к содержанию, составу заявки на участие в электронном аукционе» Заказчиком установлено, что на участие в закупке заявка должна содержать информацию и документы, в том числе:</w:t>
      </w:r>
    </w:p>
    <w:p>
      <w:pPr>
        <w:pStyle w:val="Style9"/>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hd w:val="clear" w:color="auto" w:fill="auto"/>
          <w:lang w:val="ru-RU" w:eastAsia="ru-RU" w:bidi="ru-RU"/>
        </w:rPr>
        <w:t>«Товарный знак (при наличии)».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в структурированной части извещения об осуществлении закупки в разделе «Информация об объекте закупки» указано наименование работ «Работы монтажные прочие, не включенные в другие группировки», а также информация о товарах.</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Кроме того, в п. 2.16 Технического задания указано, что подлежащее монтажу оборудование предоставляется Подрядчиком в соответствии с требованиями Приложения 1 «Перечень объектов закупки» к настоящему Техническому заданию и требованиями актов, указанных в пунктах 7.1, 7.2, 7.3, 7.4, 7.13, 7.16, 7.18, 7.21, 7.23, 7.24, 7.33, 7.37, 7.38 настоящего Технического задания.</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 2.18 Технического задания все материалы и оборудование, поставляемые в рамках выполнения работ, подлежат входному контролю с участием представителей Подрядчика и Заказчика. В рамках входного контроля проверяются качество, количество и характеристики поступающих на объект строительных материалов и изделий на соответствие предъявляемым к ним требованиям настоящего Технического задания, стандартов, сертификатов и других необходимых документов, отражающих их свойства, в соответствии с требованиями акта, указанного в пункте 7.29 настоящего Технического задания.</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Заказчиком в соответствии с действующим законодательством надлежащим образом осуществлено описание объекта закупки.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Относительно не установления ограничений, предусмотренных постановлением №878, представитель Заказчика пояснил, что в письме Минфина России, Министерства промышленности и торговли РФ, Министерства цифрового развития, связи и массовых коммуникаций РФ и Министерства строительства и жилищно</w:t>
        <w:softHyphen/>
        <w:t xml:space="preserve">коммунального хозяйства РФ от 20 ноября 2023 г. №№ 24-01-07/111357, ШВ- 124486/11, АЗ-П29-085-243351, 78336-СМ/09 «Об ограничении допуска товара, являющегося радиоэлектронной продукцией и происходящего из иностранного </w:t>
      </w:r>
      <w:r>
        <w:rPr>
          <w:color w:val="000000"/>
          <w:spacing w:val="0"/>
          <w:w w:val="100"/>
          <w:position w:val="0"/>
          <w:shd w:val="clear" w:color="auto" w:fill="auto"/>
          <w:lang w:val="ru-RU" w:eastAsia="ru-RU" w:bidi="ru-RU"/>
        </w:rPr>
        <w:t>государства, при осуществлении закупок работ в сфере строительства для обеспечения государственных и муниципальных нужд» отмечается, что постановление Правительства РФ от 10.07.2019 № 878 не содержит требования о его применении при осуществлении закупок работ (услуг), при выполнении (оказании) которых поставляется товар, включенный в соответствующий перечень. Таким образом, указанное постановление не применяется в отношении закупок работ/услуг.</w:t>
      </w:r>
    </w:p>
    <w:p>
      <w:pPr>
        <w:pStyle w:val="Style9"/>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В свою очередь, Комиссия Управления отмечает, что Техническое задание не содержит информации о поставке товара, при этом в Приложении 1 к Техническому заданию «Перечень объектов закупки» указано исключительно на монтаж оборудования системы контроля и управления доступом.</w:t>
      </w:r>
    </w:p>
    <w:p>
      <w:pPr>
        <w:pStyle w:val="Style9"/>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Комиссия Управления также отмечает, что Расчетом НМЦК Заказчиком также предусмотрен исключительно «Монтаж оборудования системы контроля и управления доступом» без указания на расчет поставляемых товаров.</w:t>
      </w:r>
    </w:p>
    <w:p>
      <w:pPr>
        <w:pStyle w:val="Style9"/>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Вместе с тем Комиссия Управления отмечает, что структурированная форма извещения содержит ряд требований к таким товарам как «Блок питания», «Провод силовой», «Угол внешний регулируемый», «Терминал биометрический», «Кабель связи, предназначенный для коммуникации информации», «Батарея аккумуляторная свинцово-кислотная стационарная», «Кронштейн для крепления бытовой техники», «Кабель-канал», «Прибор приемно-контрольный и управления пожарный» и другим, которые, из совокупности извещения и прикрепленных к нему документов, очевидно, являются в данном случае используемыми при оказании услуг товарами, без которых невозможно оказать услуги, являющиеся объектом закупки.</w:t>
      </w:r>
    </w:p>
    <w:p>
      <w:pPr>
        <w:pStyle w:val="Style9"/>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Вышеуказанное также подтверждается фактом того, что описание объекта закупки, а также установленный проектом контракта порядок сдачи приёмки не предусматривает поставку товаров.</w:t>
      </w:r>
    </w:p>
    <w:p>
      <w:pPr>
        <w:pStyle w:val="Style9"/>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Вместе с этим Комиссия Управления отмечает, что положения ст.33 Закона о контрактной системе позволяют описывать Заказчику как требования к поставляемым товарам, так и требования к используемым при оказании услуг товарам, однако в п.1 ч.2 ст.43 Закона о контрактной системе однозначно определено, что информация о товаре, предусмотренная пп.«а» и «б» п.2 ч.1 ст.43 Закона о контрактной системе,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w:t>
      </w:r>
    </w:p>
    <w:p>
      <w:pPr>
        <w:pStyle w:val="Style9"/>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Кроме того, Комиссия Управления также отмечает, что согласно письму ФАС России от 25.06.2020 № ИА/53616/20 «По вопросу установления требований к составу заявки (поставляемый, используемый товар)»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w:t>
      </w:r>
    </w:p>
    <w:p>
      <w:pPr>
        <w:pStyle w:val="Style9"/>
        <w:keepNext w:val="0"/>
        <w:keepLines w:val="0"/>
        <w:widowControl w:val="0"/>
        <w:numPr>
          <w:ilvl w:val="0"/>
          <w:numId w:val="3"/>
        </w:numPr>
        <w:shd w:val="clear" w:color="auto" w:fill="auto"/>
        <w:tabs>
          <w:tab w:pos="937" w:val="left"/>
        </w:tabs>
        <w:bidi w:val="0"/>
        <w:spacing w:before="0" w:after="0" w:line="240" w:lineRule="auto"/>
        <w:ind w:left="0" w:right="0" w:firstLine="600"/>
        <w:jc w:val="both"/>
      </w:pPr>
      <w:r>
        <w:rPr>
          <w:color w:val="000000"/>
          <w:spacing w:val="0"/>
          <w:w w:val="100"/>
          <w:position w:val="0"/>
          <w:shd w:val="clear" w:color="auto" w:fill="auto"/>
          <w:lang w:val="ru-RU" w:eastAsia="ru-RU" w:bidi="ru-RU"/>
        </w:rPr>
        <w:t>товар не передается заказчику по товарной накладной или акту передачи;</w:t>
      </w:r>
    </w:p>
    <w:p>
      <w:pPr>
        <w:pStyle w:val="Style9"/>
        <w:keepNext w:val="0"/>
        <w:keepLines w:val="0"/>
        <w:widowControl w:val="0"/>
        <w:numPr>
          <w:ilvl w:val="0"/>
          <w:numId w:val="3"/>
        </w:numPr>
        <w:shd w:val="clear" w:color="auto" w:fill="auto"/>
        <w:tabs>
          <w:tab w:pos="937" w:val="left"/>
        </w:tabs>
        <w:bidi w:val="0"/>
        <w:spacing w:before="0" w:after="0" w:line="240" w:lineRule="auto"/>
        <w:ind w:left="0" w:right="0" w:firstLine="660"/>
        <w:jc w:val="both"/>
      </w:pPr>
      <w:r>
        <w:rPr>
          <w:color w:val="000000"/>
          <w:spacing w:val="0"/>
          <w:w w:val="100"/>
          <w:position w:val="0"/>
          <w:shd w:val="clear" w:color="auto" w:fill="auto"/>
          <w:lang w:val="ru-RU" w:eastAsia="ru-RU" w:bidi="ru-RU"/>
        </w:rPr>
        <w:t>товар не принимается к бухгалтерскому учету заказчика в соответствии с Федеральным законом от 06.12.2011 № 402-ФЗ «О бухгалтерском учете»;</w:t>
      </w:r>
    </w:p>
    <w:p>
      <w:pPr>
        <w:pStyle w:val="Style9"/>
        <w:keepNext w:val="0"/>
        <w:keepLines w:val="0"/>
        <w:widowControl w:val="0"/>
        <w:numPr>
          <w:ilvl w:val="0"/>
          <w:numId w:val="3"/>
        </w:numPr>
        <w:shd w:val="clear" w:color="auto" w:fill="auto"/>
        <w:tabs>
          <w:tab w:pos="1042" w:val="left"/>
        </w:tabs>
        <w:bidi w:val="0"/>
        <w:spacing w:before="0" w:after="0" w:line="240" w:lineRule="auto"/>
        <w:ind w:left="0" w:right="0" w:firstLine="660"/>
        <w:jc w:val="both"/>
      </w:pPr>
      <w:r>
        <w:rPr>
          <w:color w:val="000000"/>
          <w:spacing w:val="0"/>
          <w:w w:val="100"/>
          <w:position w:val="0"/>
          <w:shd w:val="clear" w:color="auto" w:fill="auto"/>
          <w:lang w:val="ru-RU" w:eastAsia="ru-RU" w:bidi="ru-RU"/>
        </w:rPr>
        <w:t xml:space="preserve">товаром являются строительные и расходные материалы, моющие средства и т.п., используемые при выполнении работ, оказании услуг, без которых </w:t>
      </w:r>
      <w:r>
        <w:rPr>
          <w:color w:val="000000"/>
          <w:spacing w:val="0"/>
          <w:w w:val="100"/>
          <w:position w:val="0"/>
          <w:shd w:val="clear" w:color="auto" w:fill="auto"/>
          <w:lang w:val="ru-RU" w:eastAsia="ru-RU" w:bidi="ru-RU"/>
        </w:rPr>
        <w:t>невозможно выполнить (оказать) такую работу (услугу).</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требование о предоставлении в составе заявки участника закупки сведений о товарном знаке, используемого при оказании услуг товара является неправомерным.</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что в рамках контракта, заключаемого по результатам данной закупочной процедуры, поставка товара не осуществляется, поскольку перечень поставляемых товаров однозначным образом не определён, при этом извещением установлены требования о предоставлении сведений о товарном знаке, характеристик используемых при оказании услуг товаров в структурированной форме извещения, ввиду чего оспариваемые требования к составу заявки на участие в закупки установлены Заказчиком неправомерно.</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Кроме того, Комиссия Управления отмечает, что из положений Постановления №878 следует, что соответствующие ограничения подлежат применению в случае поставки товара, при этом отсутствие в тексте нормативных документов указания на необходимость применения положений Постановления №878 при поставке товара в рамках оказания услуг, выполнения работ, не может свидетельствовать о неприменении вышеуказанного положения, так как, исходя из содержания положения Постановления №878 подлежат применению в случае поставки товара вне зависимости от формы и вида контракта, заключаемого по результатам конкурентной процедуры, за исключением случаев прямо предусмотренных актами или Законом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этим, согласно пояснениям представителя Заказчика, в рамках контракта, заключаемого по результатам данной закупочной процедуры, осуществляется поставка товаров, в связи с чем Заказчику надлежит установить ограничения допуска, предусмотренные положениями Постановления №878.</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этом, учитывая пояснения представителя Заказчика, в извещении и размещенных документах должны быть предусмотрены условия поставки товара, его приемки и оплаты, в том числе описание закупаемых товаров, не противоречащее условиям структурированной формы описания объекта закупки, предусмотренного извещением о проведении закупки.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о нарушении Заказчика п.3 ч.2 ст.42, п.1 ч.1 ст.33, ч.3 ст.14, п.15 ч.1 ст.42 Закона о контрактной системе,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ч.1.4 ст.7.30 Кодекса Российской Федерации об административных правонарушениях.</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r>
        <w:br w:type="page"/>
      </w:r>
    </w:p>
    <w:p>
      <w:pPr>
        <w:pStyle w:val="Style9"/>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9"/>
        <w:keepNext w:val="0"/>
        <w:keepLines w:val="0"/>
        <w:widowControl w:val="0"/>
        <w:numPr>
          <w:ilvl w:val="0"/>
          <w:numId w:val="5"/>
        </w:numPr>
        <w:shd w:val="clear" w:color="auto" w:fill="auto"/>
        <w:tabs>
          <w:tab w:pos="105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жалобу ООО «Ремстрой» на действия Мосжилинспекции обоснованной.</w:t>
      </w:r>
    </w:p>
    <w:p>
      <w:pPr>
        <w:pStyle w:val="Style9"/>
        <w:keepNext w:val="0"/>
        <w:keepLines w:val="0"/>
        <w:widowControl w:val="0"/>
        <w:numPr>
          <w:ilvl w:val="0"/>
          <w:numId w:val="5"/>
        </w:numPr>
        <w:shd w:val="clear" w:color="auto" w:fill="auto"/>
        <w:tabs>
          <w:tab w:pos="105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в действиях Заказчика нарушения п.3 ч.2 ст.42, п.1 ч.1 ст.33, ч.3 ст.14, п.15 ч.1 ст.42 Закона о контрактной системе.</w:t>
      </w:r>
    </w:p>
    <w:p>
      <w:pPr>
        <w:pStyle w:val="Style9"/>
        <w:keepNext w:val="0"/>
        <w:keepLines w:val="0"/>
        <w:widowControl w:val="0"/>
        <w:numPr>
          <w:ilvl w:val="0"/>
          <w:numId w:val="5"/>
        </w:numPr>
        <w:shd w:val="clear" w:color="auto" w:fill="auto"/>
        <w:tabs>
          <w:tab w:pos="106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Выдать Заказчику обязательное для исполнения предписание об устранении нарушений законодательства о контрактной системе.</w:t>
      </w:r>
    </w:p>
    <w:p>
      <w:pPr>
        <w:pStyle w:val="Style9"/>
        <w:keepNext w:val="0"/>
        <w:keepLines w:val="0"/>
        <w:widowControl w:val="0"/>
        <w:numPr>
          <w:ilvl w:val="0"/>
          <w:numId w:val="5"/>
        </w:numPr>
        <w:shd w:val="clear" w:color="auto" w:fill="auto"/>
        <w:tabs>
          <w:tab w:pos="1069" w:val="left"/>
        </w:tabs>
        <w:bidi w:val="0"/>
        <w:spacing w:before="0" w:after="280" w:line="240" w:lineRule="auto"/>
        <w:ind w:left="0" w:right="0" w:firstLine="70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type w:val="continuous"/>
          <w:pgSz w:w="11900" w:h="16840"/>
          <w:pgMar w:top="999" w:right="534" w:bottom="986" w:left="1099" w:header="0" w:footer="3" w:gutter="0"/>
          <w:cols w:space="720"/>
          <w:noEndnote/>
          <w:rtlGutter w:val="0"/>
          <w:docGrid w:linePitch="360"/>
        </w:sectPr>
      </w:pPr>
      <w:r>
        <mc:AlternateContent>
          <mc:Choice Requires="wps">
            <w:drawing>
              <wp:anchor distT="127000" distB="203835" distL="0" distR="0" simplePos="0" relativeHeight="125829383" behindDoc="0" locked="0" layoutInCell="1" allowOverlap="1">
                <wp:simplePos x="0" y="0"/>
                <wp:positionH relativeFrom="page">
                  <wp:posOffset>731520</wp:posOffset>
                </wp:positionH>
                <wp:positionV relativeFrom="paragraph">
                  <wp:posOffset>127000</wp:posOffset>
                </wp:positionV>
                <wp:extent cx="1850390" cy="250190"/>
                <wp:wrapTopAndBottom/>
                <wp:docPr id="15" name="Shape 15"/>
                <a:graphic xmlns:a="http://schemas.openxmlformats.org/drawingml/2006/main">
                  <a:graphicData uri="http://schemas.microsoft.com/office/word/2010/wordprocessingShape">
                    <wps:wsp>
                      <wps:cNvSpPr txBox="1"/>
                      <wps:spPr>
                        <a:xfrm>
                          <a:ext cx="185039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1" type="#_x0000_t202" style="position:absolute;margin-left:57.600000000000001pt;margin-top:10.pt;width:145.70000000000002pt;height:19.699999999999999pt;z-index:-125829370;mso-wrap-distance-left:0;mso-wrap-distance-top:10.pt;mso-wrap-distance-right:0;mso-wrap-distance-bottom:16.0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218440" distB="0" distL="0" distR="1807210" simplePos="0" relativeHeight="125829385" behindDoc="0" locked="0" layoutInCell="1" allowOverlap="1">
            <wp:simplePos x="0" y="0"/>
            <wp:positionH relativeFrom="page">
              <wp:posOffset>3127375</wp:posOffset>
            </wp:positionH>
            <wp:positionV relativeFrom="paragraph">
              <wp:posOffset>218440</wp:posOffset>
            </wp:positionV>
            <wp:extent cx="311150" cy="365760"/>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3"/>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3520440</wp:posOffset>
                </wp:positionH>
                <wp:positionV relativeFrom="paragraph">
                  <wp:posOffset>288290</wp:posOffset>
                </wp:positionV>
                <wp:extent cx="1725295" cy="255905"/>
                <wp:wrapNone/>
                <wp:docPr id="19" name="Shape 1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77.19999999999999pt;margin-top:22.699999999999999pt;width:135.84999999999999pt;height:20.150000000000002pt;z-index:251657729;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203835" distL="0" distR="0" simplePos="0" relativeHeight="125829386" behindDoc="0" locked="0" layoutInCell="1" allowOverlap="1">
                <wp:simplePos x="0" y="0"/>
                <wp:positionH relativeFrom="page">
                  <wp:posOffset>6181090</wp:posOffset>
                </wp:positionH>
                <wp:positionV relativeFrom="paragraph">
                  <wp:posOffset>127000</wp:posOffset>
                </wp:positionV>
                <wp:extent cx="1029970" cy="250190"/>
                <wp:wrapTopAndBottom/>
                <wp:docPr id="21" name="Shape 21"/>
                <a:graphic xmlns:a="http://schemas.openxmlformats.org/drawingml/2006/main">
                  <a:graphicData uri="http://schemas.microsoft.com/office/word/2010/wordprocessingShape">
                    <wps:wsp>
                      <wps:cNvSpPr txBox="1"/>
                      <wps:spPr>
                        <a:xfrm>
                          <a:ext cx="102997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wps:txbx>
                      <wps:bodyPr wrap="none" lIns="0" tIns="0" rIns="0" bIns="0">
                        <a:noAutoFit/>
                      </wps:bodyPr>
                    </wps:wsp>
                  </a:graphicData>
                </a:graphic>
              </wp:anchor>
            </w:drawing>
          </mc:Choice>
          <mc:Fallback>
            <w:pict>
              <v:shape id="_x0000_s1047" type="#_x0000_t202" style="position:absolute;margin-left:486.69999999999999pt;margin-top:10.pt;width:81.100000000000009pt;height:19.699999999999999pt;z-index:-125829367;mso-wrap-distance-left:0;mso-wrap-distance-top:10.pt;mso-wrap-distance-right:0;mso-wrap-distance-bottom:16.0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v:textbox>
                <w10:wrap type="topAndBottom" anchorx="page"/>
              </v:shape>
            </w:pict>
          </mc:Fallback>
        </mc:AlternateContent>
      </w:r>
    </w:p>
    <w:p>
      <w:pPr>
        <w:pStyle w:val="Style23"/>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51"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25"/>
        <w:keepNext w:val="0"/>
        <w:keepLines w:val="0"/>
        <w:widowControl w:val="0"/>
        <w:shd w:val="clear" w:color="auto" w:fill="auto"/>
        <w:bidi w:val="0"/>
        <w:spacing w:before="0" w:after="0" w:line="240" w:lineRule="auto"/>
        <w:ind w:right="0" w:firstLine="0"/>
        <w:jc w:val="left"/>
        <w:rPr>
          <w:sz w:val="11"/>
          <w:szCs w:val="11"/>
        </w:rPr>
      </w:pPr>
      <w:r>
        <w:rPr>
          <w:color w:val="636363"/>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КАЗАРИН СЕРГЕЙ ИГОРЕВИЧ</w:t>
      </w:r>
    </w:p>
    <w:p>
      <w:pPr>
        <w:pStyle w:val="Style2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 xml:space="preserve">000590946031СЕ073ВР5С506ЕЕ7501 </w:t>
      </w:r>
      <w:r>
        <w:rPr>
          <w:color w:val="636363"/>
          <w:spacing w:val="0"/>
          <w:w w:val="100"/>
          <w:position w:val="0"/>
          <w:shd w:val="clear" w:color="auto" w:fill="auto"/>
          <w:lang w:val="ru-RU" w:eastAsia="ru-RU" w:bidi="ru-RU"/>
        </w:rPr>
        <w:t>0760</w:t>
      </w:r>
    </w:p>
    <w:p>
      <w:pPr>
        <w:pStyle w:val="Style25"/>
        <w:keepNext w:val="0"/>
        <w:keepLines w:val="0"/>
        <w:widowControl w:val="0"/>
        <w:shd w:val="clear" w:color="auto" w:fill="auto"/>
        <w:bidi w:val="0"/>
        <w:spacing w:before="0" w:after="280" w:line="240" w:lineRule="auto"/>
        <w:ind w:right="0" w:firstLine="0"/>
        <w:jc w:val="left"/>
      </w:pPr>
      <w:r>
        <w:rPr>
          <w:color w:val="636363"/>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12.03.2024 </w:t>
      </w:r>
      <w:r>
        <w:rPr>
          <w:color w:val="000000"/>
          <w:spacing w:val="0"/>
          <w:w w:val="100"/>
          <w:position w:val="0"/>
          <w:shd w:val="clear" w:color="auto" w:fill="auto"/>
          <w:lang w:val="ru-RU" w:eastAsia="ru-RU" w:bidi="ru-RU"/>
        </w:rPr>
        <w:t xml:space="preserve">по </w:t>
      </w:r>
      <w:r>
        <w:rPr>
          <w:color w:val="636363"/>
          <w:spacing w:val="0"/>
          <w:w w:val="100"/>
          <w:position w:val="0"/>
          <w:shd w:val="clear" w:color="auto" w:fill="auto"/>
          <w:lang w:val="ru-RU" w:eastAsia="ru-RU" w:bidi="ru-RU"/>
        </w:rPr>
        <w:t>05.06.2025</w:t>
      </w:r>
    </w:p>
    <w:p>
      <w:pPr>
        <w:pStyle w:val="Style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9"/>
        <w:keepNext w:val="0"/>
        <w:keepLines w:val="0"/>
        <w:widowControl w:val="0"/>
        <w:shd w:val="clear" w:color="auto" w:fill="auto"/>
        <w:bidi w:val="0"/>
        <w:spacing w:before="0" w:after="370" w:line="240" w:lineRule="auto"/>
        <w:ind w:left="0" w:right="0" w:firstLine="880"/>
        <w:jc w:val="left"/>
      </w:pPr>
      <w:r>
        <w:drawing>
          <wp:anchor distT="0" distB="0" distL="114300" distR="1921510" simplePos="0" relativeHeight="125829388" behindDoc="0" locked="0" layoutInCell="1" allowOverlap="1">
            <wp:simplePos x="0" y="0"/>
            <wp:positionH relativeFrom="page">
              <wp:posOffset>3127375</wp:posOffset>
            </wp:positionH>
            <wp:positionV relativeFrom="paragraph">
              <wp:posOffset>76200</wp:posOffset>
            </wp:positionV>
            <wp:extent cx="311150" cy="365760"/>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5"/>
                    <a:stretch/>
                  </pic:blipFill>
                  <pic:spPr>
                    <a:xfrm>
                      <a:ext cx="311150" cy="3657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3520440</wp:posOffset>
                </wp:positionH>
                <wp:positionV relativeFrom="paragraph">
                  <wp:posOffset>149225</wp:posOffset>
                </wp:positionV>
                <wp:extent cx="1725295" cy="255905"/>
                <wp:wrapNone/>
                <wp:docPr id="25" name="Shape 2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77.19999999999999pt;margin-top:11.75pt;width:135.84999999999999pt;height:20.150000000000002pt;z-index:251657731;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Е.Д. Мартьянова</w:t>
      </w:r>
    </w:p>
    <w:p>
      <w:pPr>
        <w:pStyle w:val="Style23"/>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color w:val="E9E9E9"/>
          <w:spacing w:val="0"/>
          <w:w w:val="100"/>
          <w:position w:val="0"/>
          <w:shd w:val="clear" w:color="auto" w:fill="auto"/>
          <w:lang w:val="ru-RU" w:eastAsia="ru-RU" w:bidi="ru-RU"/>
        </w:rPr>
        <w:t xml:space="preserve">СВЕДЕНИЯ О СЕРТИФИКАТЕ </w:t>
      </w:r>
      <w:r>
        <w:rPr>
          <w:color w:val="FFFFFF"/>
          <w:spacing w:val="0"/>
          <w:w w:val="100"/>
          <w:position w:val="0"/>
          <w:shd w:val="clear" w:color="auto" w:fill="auto"/>
          <w:lang w:val="ru-RU" w:eastAsia="ru-RU" w:bidi="ru-RU"/>
        </w:rPr>
        <w:t>ЭП</w:t>
      </w:r>
    </w:p>
    <w:p>
      <w:pPr>
        <w:pStyle w:val="Style25"/>
        <w:keepNext w:val="0"/>
        <w:keepLines w:val="0"/>
        <w:widowControl w:val="0"/>
        <w:shd w:val="clear" w:color="auto" w:fill="auto"/>
        <w:bidi w:val="0"/>
        <w:spacing w:before="0" w:after="0" w:line="240" w:lineRule="auto"/>
        <w:ind w:right="0" w:firstLine="0"/>
        <w:jc w:val="left"/>
        <w:rPr>
          <w:sz w:val="11"/>
          <w:szCs w:val="11"/>
        </w:rPr>
      </w:pPr>
      <w:r>
        <w:rPr>
          <w:color w:val="636363"/>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Мартьянова Елена Дмитриевна</w:t>
      </w:r>
    </w:p>
    <w:p>
      <w:pPr>
        <w:pStyle w:val="Style2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0092302А1Е2Е82694604ЕЕЕ7722Э2557ЕЕ</w:t>
      </w:r>
    </w:p>
    <w:p>
      <w:pPr>
        <w:pStyle w:val="Style25"/>
        <w:keepNext w:val="0"/>
        <w:keepLines w:val="0"/>
        <w:widowControl w:val="0"/>
        <w:shd w:val="clear" w:color="auto" w:fill="auto"/>
        <w:bidi w:val="0"/>
        <w:spacing w:before="0" w:after="200" w:line="240" w:lineRule="auto"/>
        <w:ind w:right="0" w:firstLine="0"/>
        <w:jc w:val="left"/>
      </w:pPr>
      <w:r>
        <w:rPr>
          <w:color w:val="636363"/>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05.12.2023 </w:t>
      </w:r>
      <w:r>
        <w:rPr>
          <w:color w:val="636363"/>
          <w:spacing w:val="0"/>
          <w:w w:val="100"/>
          <w:position w:val="0"/>
          <w:shd w:val="clear" w:color="auto" w:fill="auto"/>
          <w:lang w:val="ru-RU" w:eastAsia="ru-RU" w:bidi="ru-RU"/>
        </w:rPr>
        <w:t>по 27.02.2025</w:t>
      </w:r>
    </w:p>
    <w:p>
      <w:pPr>
        <w:pStyle w:val="Style9"/>
        <w:keepNext w:val="0"/>
        <w:keepLines w:val="0"/>
        <w:widowControl w:val="0"/>
        <w:shd w:val="clear" w:color="auto" w:fill="auto"/>
        <w:bidi w:val="0"/>
        <w:spacing w:before="0" w:after="640" w:line="240" w:lineRule="auto"/>
        <w:ind w:left="1560" w:right="0" w:firstLine="0"/>
        <w:jc w:val="left"/>
      </w:pPr>
      <w:r>
        <w:drawing>
          <wp:anchor distT="0" distB="0" distL="114300" distR="1903730" simplePos="0" relativeHeight="125829389" behindDoc="0" locked="0" layoutInCell="1" allowOverlap="1">
            <wp:simplePos x="0" y="0"/>
            <wp:positionH relativeFrom="page">
              <wp:posOffset>3102610</wp:posOffset>
            </wp:positionH>
            <wp:positionV relativeFrom="paragraph">
              <wp:posOffset>63500</wp:posOffset>
            </wp:positionV>
            <wp:extent cx="353695" cy="536575"/>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7"/>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3566160</wp:posOffset>
                </wp:positionH>
                <wp:positionV relativeFrom="paragraph">
                  <wp:posOffset>466090</wp:posOffset>
                </wp:positionV>
                <wp:extent cx="1280160" cy="103505"/>
                <wp:wrapNone/>
                <wp:docPr id="29" name="Shape 29"/>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55" type="#_x0000_t202" style="position:absolute;margin-left:280.80000000000001pt;margin-top:36.700000000000003pt;width:100.8pt;height:8.1500000000000004pt;z-index:251657733;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3520440</wp:posOffset>
                </wp:positionH>
                <wp:positionV relativeFrom="paragraph">
                  <wp:posOffset>154940</wp:posOffset>
                </wp:positionV>
                <wp:extent cx="1725295" cy="255905"/>
                <wp:wrapNone/>
                <wp:docPr id="31" name="Shape 3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77.19999999999999pt;margin-top:12.200000000000001pt;width:135.84999999999999pt;height:20.150000000000002pt;z-index:251657735;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Э.З. Гугава</w:t>
      </w:r>
    </w:p>
    <w:p>
      <w:pPr>
        <w:pStyle w:val="Style25"/>
        <w:keepNext w:val="0"/>
        <w:keepLines w:val="0"/>
        <w:widowControl w:val="0"/>
        <w:shd w:val="clear" w:color="auto" w:fill="auto"/>
        <w:bidi w:val="0"/>
        <w:spacing w:before="0" w:after="0" w:line="240" w:lineRule="auto"/>
        <w:ind w:right="0" w:firstLine="0"/>
        <w:jc w:val="left"/>
        <w:rPr>
          <w:sz w:val="11"/>
          <w:szCs w:val="11"/>
        </w:rPr>
      </w:pPr>
      <w:r>
        <w:rPr>
          <w:color w:val="636363"/>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Гугава Эдуард Звиадович</w:t>
      </w:r>
    </w:p>
    <w:p>
      <w:pPr>
        <w:pStyle w:val="Style2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636363"/>
          <w:spacing w:val="0"/>
          <w:w w:val="100"/>
          <w:position w:val="0"/>
          <w:shd w:val="clear" w:color="auto" w:fill="auto"/>
          <w:lang w:val="ru-RU" w:eastAsia="ru-RU" w:bidi="ru-RU"/>
        </w:rPr>
        <w:t>008АВСВВ24Э1</w:t>
      </w:r>
      <w:r>
        <w:rPr>
          <w:spacing w:val="0"/>
          <w:w w:val="100"/>
          <w:position w:val="0"/>
          <w:shd w:val="clear" w:color="auto" w:fill="auto"/>
          <w:lang w:val="ru-RU" w:eastAsia="ru-RU" w:bidi="ru-RU"/>
        </w:rPr>
        <w:t>В04705С4В0130528702ЕАЕ</w:t>
      </w:r>
    </w:p>
    <w:p>
      <w:pPr>
        <w:pStyle w:val="Style25"/>
        <w:keepNext w:val="0"/>
        <w:keepLines w:val="0"/>
        <w:widowControl w:val="0"/>
        <w:shd w:val="clear" w:color="auto" w:fill="auto"/>
        <w:bidi w:val="0"/>
        <w:spacing w:before="0" w:after="2360" w:line="240" w:lineRule="auto"/>
        <w:ind w:right="0" w:firstLine="0"/>
        <w:jc w:val="left"/>
      </w:pPr>
      <w:r>
        <w:rPr>
          <w:color w:val="636363"/>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636363"/>
          <w:spacing w:val="0"/>
          <w:w w:val="100"/>
          <w:position w:val="0"/>
          <w:shd w:val="clear" w:color="auto" w:fill="auto"/>
          <w:lang w:val="ru-RU" w:eastAsia="ru-RU" w:bidi="ru-RU"/>
        </w:rPr>
        <w:t xml:space="preserve">11.07.2024 </w:t>
      </w:r>
      <w:r>
        <w:rPr>
          <w:color w:val="000000"/>
          <w:spacing w:val="0"/>
          <w:w w:val="100"/>
          <w:position w:val="0"/>
          <w:shd w:val="clear" w:color="auto" w:fill="auto"/>
          <w:lang w:val="ru-RU" w:eastAsia="ru-RU" w:bidi="ru-RU"/>
        </w:rPr>
        <w:t xml:space="preserve">по </w:t>
      </w:r>
      <w:r>
        <w:rPr>
          <w:color w:val="636363"/>
          <w:spacing w:val="0"/>
          <w:w w:val="100"/>
          <w:position w:val="0"/>
          <w:shd w:val="clear" w:color="auto" w:fill="auto"/>
          <w:lang w:val="ru-RU" w:eastAsia="ru-RU" w:bidi="ru-RU"/>
        </w:rPr>
        <w:t>04.10.2025</w:t>
      </w:r>
    </w:p>
    <w:p>
      <w:pPr>
        <w:pStyle w:val="Style31"/>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Исп.Мартьянова Е.Д. тел.(495) 784-75-05</w:t>
      </w:r>
    </w:p>
    <w:sectPr>
      <w:footnotePr>
        <w:pos w:val="pageBottom"/>
        <w:numFmt w:val="decimal"/>
        <w:numRestart w:val="continuous"/>
      </w:footnotePr>
      <w:type w:val="continuous"/>
      <w:pgSz w:w="11900" w:h="16840"/>
      <w:pgMar w:top="1484" w:right="527" w:bottom="1484"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728345</wp:posOffset>
              </wp:positionH>
              <wp:positionV relativeFrom="page">
                <wp:posOffset>10107295</wp:posOffset>
              </wp:positionV>
              <wp:extent cx="722630" cy="100330"/>
              <wp:wrapNone/>
              <wp:docPr id="5" name="Shape 5"/>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2024-45665</w:t>
                          </w:r>
                        </w:p>
                      </w:txbxContent>
                    </wps:txbx>
                    <wps:bodyPr wrap="none" lIns="0" tIns="0" rIns="0" bIns="0">
                      <a:spAutoFit/>
                    </wps:bodyPr>
                  </wps:wsp>
                </a:graphicData>
              </a:graphic>
            </wp:anchor>
          </w:drawing>
        </mc:Choice>
        <mc:Fallback>
          <w:pict>
            <v:shape id="_x0000_s1031" type="#_x0000_t202" style="position:absolute;margin-left:57.350000000000001pt;margin-top:795.85000000000002pt;width:56.899999999999999pt;height:7.90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2024-45665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723900</wp:posOffset>
              </wp:positionH>
              <wp:positionV relativeFrom="page">
                <wp:posOffset>10217150</wp:posOffset>
              </wp:positionV>
              <wp:extent cx="719455" cy="100330"/>
              <wp:wrapNone/>
              <wp:docPr id="7" name="Shape 7"/>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2024-45665</w:t>
                          </w:r>
                        </w:p>
                      </w:txbxContent>
                    </wps:txbx>
                    <wps:bodyPr wrap="none" lIns="0" tIns="0" rIns="0" bIns="0">
                      <a:spAutoFit/>
                    </wps:bodyPr>
                  </wps:wsp>
                </a:graphicData>
              </a:graphic>
            </wp:anchor>
          </w:drawing>
        </mc:Choice>
        <mc:Fallback>
          <w:pict>
            <v:shape id="_x0000_s1033" type="#_x0000_t202" style="position:absolute;margin-left:57.pt;margin-top:804.5pt;width:56.649999999999999pt;height:7.9000000000000004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2024-45665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3925570</wp:posOffset>
              </wp:positionH>
              <wp:positionV relativeFrom="page">
                <wp:posOffset>490855</wp:posOffset>
              </wp:positionV>
              <wp:extent cx="67310" cy="103505"/>
              <wp:wrapNone/>
              <wp:docPr id="3" name="Shape 3"/>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10000000000002pt;margin-top:38.649999999999999pt;width:5.2999999999999998pt;height:8.15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Подпись к картинке_"/>
    <w:basedOn w:val="DefaultParagraphFont"/>
    <w:link w:val="Style13"/>
    <w:rPr>
      <w:rFonts w:ascii="Times New Roman" w:eastAsia="Times New Roman" w:hAnsi="Times New Roman" w:cs="Times New Roman"/>
      <w:b w:val="0"/>
      <w:bCs w:val="0"/>
      <w:i w:val="0"/>
      <w:iCs w:val="0"/>
      <w:smallCaps w:val="0"/>
      <w:strike w:val="0"/>
      <w:color w:val="292929"/>
      <w:sz w:val="12"/>
      <w:szCs w:val="12"/>
      <w:u w:val="none"/>
    </w:rPr>
  </w:style>
  <w:style w:type="character" w:customStyle="1" w:styleId="CharStyle18">
    <w:name w:val="Заголовок №1_"/>
    <w:basedOn w:val="DefaultParagraphFont"/>
    <w:link w:val="Style17"/>
    <w:rPr>
      <w:rFonts w:ascii="Arial" w:eastAsia="Arial" w:hAnsi="Arial" w:cs="Arial"/>
      <w:b w:val="0"/>
      <w:bCs w:val="0"/>
      <w:i w:val="0"/>
      <w:iCs w:val="0"/>
      <w:smallCaps w:val="0"/>
      <w:strike w:val="0"/>
      <w:sz w:val="34"/>
      <w:szCs w:val="34"/>
      <w:u w:val="none"/>
    </w:rPr>
  </w:style>
  <w:style w:type="character" w:customStyle="1" w:styleId="CharStyle24">
    <w:name w:val="Основной текст (4)_"/>
    <w:basedOn w:val="DefaultParagraphFont"/>
    <w:link w:val="Style23"/>
    <w:rPr>
      <w:rFonts w:ascii="Georgia" w:eastAsia="Georgia" w:hAnsi="Georgia" w:cs="Georgia"/>
      <w:b w:val="0"/>
      <w:bCs w:val="0"/>
      <w:i w:val="0"/>
      <w:iCs w:val="0"/>
      <w:smallCaps w:val="0"/>
      <w:strike w:val="0"/>
      <w:color w:val="EBEBEB"/>
      <w:sz w:val="12"/>
      <w:szCs w:val="12"/>
      <w:u w:val="none"/>
    </w:rPr>
  </w:style>
  <w:style w:type="character" w:customStyle="1" w:styleId="CharStyle26">
    <w:name w:val="Основной текст (2)_"/>
    <w:basedOn w:val="DefaultParagraphFont"/>
    <w:link w:val="Style25"/>
    <w:rPr>
      <w:rFonts w:ascii="Arial" w:eastAsia="Arial" w:hAnsi="Arial" w:cs="Arial"/>
      <w:b w:val="0"/>
      <w:bCs w:val="0"/>
      <w:i w:val="0"/>
      <w:iCs w:val="0"/>
      <w:smallCaps w:val="0"/>
      <w:strike w:val="0"/>
      <w:color w:val="292929"/>
      <w:sz w:val="12"/>
      <w:szCs w:val="12"/>
      <w:u w:val="none"/>
    </w:rPr>
  </w:style>
  <w:style w:type="character" w:customStyle="1" w:styleId="CharStyle32">
    <w:name w:val="Основной текст (5)_"/>
    <w:basedOn w:val="DefaultParagraphFont"/>
    <w:link w:val="Style31"/>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00"/>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Подпись к картинке"/>
    <w:basedOn w:val="Normal"/>
    <w:link w:val="CharStyle14"/>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92929"/>
      <w:sz w:val="12"/>
      <w:szCs w:val="12"/>
      <w:u w:val="none"/>
    </w:rPr>
  </w:style>
  <w:style w:type="paragraph" w:customStyle="1" w:styleId="Style17">
    <w:name w:val="Заголовок №1"/>
    <w:basedOn w:val="Normal"/>
    <w:link w:val="CharStyle18"/>
    <w:pPr>
      <w:widowControl w:val="0"/>
      <w:shd w:val="clear" w:color="auto" w:fill="auto"/>
      <w:spacing w:after="360"/>
      <w:ind w:firstLine="360"/>
      <w:outlineLvl w:val="0"/>
    </w:pPr>
    <w:rPr>
      <w:rFonts w:ascii="Arial" w:eastAsia="Arial" w:hAnsi="Arial" w:cs="Arial"/>
      <w:b w:val="0"/>
      <w:bCs w:val="0"/>
      <w:i w:val="0"/>
      <w:iCs w:val="0"/>
      <w:smallCaps w:val="0"/>
      <w:strike w:val="0"/>
      <w:sz w:val="34"/>
      <w:szCs w:val="34"/>
      <w:u w:val="none"/>
    </w:rPr>
  </w:style>
  <w:style w:type="paragraph" w:customStyle="1" w:styleId="Style23">
    <w:name w:val="Основной текст (4)"/>
    <w:basedOn w:val="Normal"/>
    <w:link w:val="CharStyle24"/>
    <w:pPr>
      <w:widowControl w:val="0"/>
      <w:shd w:val="clear" w:color="auto" w:fill="auto"/>
      <w:spacing w:after="80"/>
      <w:ind w:left="4520"/>
    </w:pPr>
    <w:rPr>
      <w:rFonts w:ascii="Georgia" w:eastAsia="Georgia" w:hAnsi="Georgia" w:cs="Georgia"/>
      <w:b w:val="0"/>
      <w:bCs w:val="0"/>
      <w:i w:val="0"/>
      <w:iCs w:val="0"/>
      <w:smallCaps w:val="0"/>
      <w:strike w:val="0"/>
      <w:color w:val="EBEBEB"/>
      <w:sz w:val="12"/>
      <w:szCs w:val="12"/>
      <w:u w:val="none"/>
    </w:rPr>
  </w:style>
  <w:style w:type="paragraph" w:customStyle="1" w:styleId="Style25">
    <w:name w:val="Основной текст (2)"/>
    <w:basedOn w:val="Normal"/>
    <w:link w:val="CharStyle26"/>
    <w:pPr>
      <w:widowControl w:val="0"/>
      <w:shd w:val="clear" w:color="auto" w:fill="auto"/>
      <w:ind w:left="3820"/>
    </w:pPr>
    <w:rPr>
      <w:rFonts w:ascii="Arial" w:eastAsia="Arial" w:hAnsi="Arial" w:cs="Arial"/>
      <w:b w:val="0"/>
      <w:bCs w:val="0"/>
      <w:i w:val="0"/>
      <w:iCs w:val="0"/>
      <w:smallCaps w:val="0"/>
      <w:strike w:val="0"/>
      <w:color w:val="292929"/>
      <w:sz w:val="12"/>
      <w:szCs w:val="12"/>
      <w:u w:val="none"/>
    </w:rPr>
  </w:style>
  <w:style w:type="paragraph" w:customStyle="1" w:styleId="Style31">
    <w:name w:val="Основной текст (5)"/>
    <w:basedOn w:val="Normal"/>
    <w:link w:val="CharStyle32"/>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 Id="rId17" Type="http://schemas.openxmlformats.org/officeDocument/2006/relationships/image" Target="media/image5.jpeg"/><Relationship Id="rId18" Type="http://schemas.openxmlformats.org/officeDocument/2006/relationships/image" Target="media/image5.jpeg" TargetMode="External"/></Relationships>
</file>