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Камчатскому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пр-т Карла Маркса, д. 29/2,</w:t>
        <w:br/>
        <w:t>Петропавловск-Камчатский, 683031</w:t>
        <w:br/>
        <w:t>тел. / факс (499) 755-23-23 доб. 041-100</w:t>
        <w:br/>
        <w:t>е-тай: 1о41@Га8.§оу.п1</w:t>
      </w:r>
    </w:p>
    <w:p>
      <w:pPr>
        <w:pStyle w:val="Style12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1,10.2024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ЕФ/2514/2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«Камчатского краевая больница им.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А.С. Лукашевского»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4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815" w:bottom="1197" w:left="1140" w:header="0" w:footer="3" w:gutter="0"/>
          <w:pgNumType w:start="1"/>
          <w:cols w:num="2" w:space="720" w:equalWidth="0">
            <w:col w:w="4219" w:space="1046"/>
            <w:col w:w="4680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«МЕДПОСТАВЩИК»</w:t>
      </w:r>
    </w:p>
    <w:p>
      <w:pPr>
        <w:widowControl w:val="0"/>
        <w:spacing w:line="160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7" w:right="0" w:bottom="118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48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 результатах рассмотрения жалобы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6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041/06/105-429/2024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20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1359535" cy="23495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953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26 сентября 2024 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550000000000004pt;margin-top:1.pt;width:107.05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26 сентября 2024 г.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Петропавловск-Камчатский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Камчатскому краю (далее - Камчатское УФАС России) по контролю в сфере закупок и рассмотрению жалоб в порядке, предусмотренном статьей 18.1 Федерального закона от 26.07.2006 № 135- ФЗ «О защите конкуренции» (далее - Комиссия)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 - руководителя управления Фисенко Е.В.,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7" w:val="left"/>
        </w:tabs>
        <w:bidi w:val="0"/>
        <w:spacing w:before="0" w:after="0" w:line="22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заместителя руководителя управления Шендрик Е.В.,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7" w:val="left"/>
        </w:tabs>
        <w:bidi w:val="0"/>
        <w:spacing w:before="0" w:after="0" w:line="22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начальника отдела контроля закупок Парфирьевой С.Н.,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7" w:val="left"/>
        </w:tabs>
        <w:bidi w:val="0"/>
        <w:spacing w:before="0" w:after="0" w:line="22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контроля закупок Шихановой Л.Б.,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представителя заказчика - государственного бюджетного учреждения здравоохранения «Камчатская краевая больница им. А.С. Лукашевского» (далее - Заказчик): Василенко Е.К. (по доверенности от 13.06.2024),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заявителя - общества с ограниченной ответственностью «МЕДПОСТАВЩИК» (далее - Заявитель), уведомленного о времени и месте рассмотрения жалобы через единую информационную систему,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2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Заявителя на действия Заказчика при определении поставщика путем электронного аукциона на поставку перчаток (закупка № 0338200009824000465),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1Н1Ш1Н11111111111111</w:t>
      </w:r>
      <w:bookmarkEnd w:id="8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60" w:line="240" w:lineRule="auto"/>
        <w:ind w:left="358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  <w:bookmarkEnd w:id="10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проводилась процедура определения поставщика путем электронного аукциона на поставку перчаток (далее - Товар) (закупка № 0338200009824000465) (далее - Закупка).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с приложением электронных документов размещено в единой информационной системе (ЕИС) 12.09.2024.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установлена в размере 8 105 285 рублей.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извещении установлены ограничения и условия допуска товаров, происходящих из иностранных государств, в соответствии с Постановлением Правительства РФ от 30.04.2020 № 617 и приказом Минфина России от 04.06.2018 № 126н.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20.09.2024 в Камчатское УФАС России поступила поданная 19.09.2024 через ЕИС жалоба Заявителя на положения извещения об осуществлении Закупки в части описания объекта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в позициях 7 - 35 описания объекта закупки неправомерно, без учета требований ГОСТ Р 52238-2024, установлены требования к характеристикам Товара: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2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Метод стериализации - радиационный,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2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Индивидуальная упаковка - полимерная.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частности, Заявитель указывает: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6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«В ГОСТ Р 52238-2004 в п. 6.4 говорится: «Перчатки должны быть стерильными. В случае запроса должен быть указан метод стерилизации.». Таким образом, качество «стерильные» может быть обеспечено применением различных способов стерилизации: газовым, воздушным, паровым, химическим, смесью паров воды и формальдегида. Конкретного указания на определенный вид стерилизации ГОСТ Р 52238-2004 не указывает. Обращаем Ваше внимание на п. 7 ГОСТ Р 52238-2004, в котором отсутствует указание на определенный вид упаковки: «Перчатки должны быть упакованы в двойную индивидуальную упаковку (внутреннюю и внешнюю)».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6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Следует вывод, что Заказчик не рассматривает другие виды стерилизации, например такой метод стерилизации как газовый. Существует Межгосударственный стандарт ГОСТ 180 11135-2017 "Стерилизация медицинской продукции. ЭТИЛЕНОКСИД. Требования к разработке, валидации и текущему управлению процессом стерилизации медицинских изделий", который регламентирует стерилизацию медицинских изделий этиленоксидом. Шовные материалы, контуры дыхательные и другие виды медицинских изделий стерилизуются этиленоксидом. Однако данные расходные материалы имеют длительный срок взаимодействия с пациентом и нет ни одного зарегистрированного случая, где было бы доказано токсическое действие от паров этиленоксида. Также радиационный метод стерилизации имеет свои недостатки, связанные с возможным воздействием на структуру материала в случае превышения дозы излучения при ионизации, что может привести к изменению технических характеристик товара.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left="0" w:right="0" w:firstLine="9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... При закупке перчаток хирургических, Заказчик должен оценивать технические характеристики перчатки, а не устанавливать требования к упаковке. Учитывая, что приемка и хранение медицинских изделий в лечебном учреждении осуществляется аптекой и оперблоком, где действуют особые нормы хранения, регламентированные п. 5.4. СП 2.1.3678-20 "Санитарно</w:t>
        <w:softHyphen/>
        <w:t xml:space="preserve">эпидемиологические требования к эксплуатации помещений, зданий, сооружений, оборудования и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транспорта, а также условиям деятельности хозяйствующих субъектов, осуществляющих продажу товаров, выполнение работ или оказание услуг" «В аптеке должно быть обеспечено хранение лекарственных средств в соответствии с инструкцией производителя...».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с доводами жалобы не согласился, представил письменные возражения, в которых пояснил следующее.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2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рынке медицинских изделий в настоящее время представлены стерильные медицинские перчатки только с 2 способами стерилизации: газовым методом (с применением этиленоксида или этиленхлоргидрина, а также иных веществ сопоставимых по своему действию) и радиационным (гамма-излучение).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Выбор способа стерилизации для Заказчика является очень важным параметром в силу того, что указанный способ стерилизации является самым безопасным для медицинского персонала, который будет в последующем длительное время, а также систематично - ежедневно по нескольку раз, носить эти перчатки в течение каждой смены.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радиационный метод превалирует над другими методами стерилизации в аспекте применения стерильного изделия.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Национальному стандарту РФ ГОСТ Р 52238-2004 (ИСО 10282:2002) «Перчатки хирургические из каучукового латекса стерильные одноразовые. Спецификация» пункту 6.4: Перчатки должны быть стерильными. В случае запроса должен быть указан метод стерилизации.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Это означает, что методы могут быть разные, и для потребителя имеет значение сам метод стерилизации, влияющий на потребительские свойства медицинского изделия.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Существующий ГОСТ Р ИСО 10993-7-2009 обосновывает необходимость проведения контроля содержания остаточных количеств этиленоксида (ЭО) и этиленхлоргидрина (ЭХГ) после стерилизации в изделиях медицинского назначения в связи с их токсическим действием в определенных концентрациях.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стандарте обращается особое внимание на биологические реакции, включающие раздражение, повреждение органов, мутагенность и канцерогенность, влияние на репродуктивную функцию. Для изделий кратковременного контакта (менее 24 ч) - среднесуточная доза ЭО для пациента должна быть не более 20 мг.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Постановлению Главного государственного санитарного врача РФ от 28 января 2021 г. № 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обитания», санитарные правила являются нормативным правовым документом, действующим на всей территории Российской Федерации и определяющим канцерогенную опасность для человека химических, физических и биологических факторов среды обитания, а также производственных процессов (далее - канцерогенные факторы), установленную по результатам эпидемиологических и экспериментальных исследований.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Требование к определенному виду стерилизации обусловлено необходимостью использования максимально безопасных изделий при работе продолжительное время с пациентом. Указанное требование важно и жизненно необходимо как для медицинского персонала, так и для пациентов, так как опасность, связанная с использованием медицинских изделий, стерилизованных газовым методом, обусловлена высокой вероятностью сохранения этилена оксида в изделиях после процесса стерилизации, который поступает в организм ингаляционно и через кожу, обладает наркотическим и генотоксичным действием.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Непосредственно для пациентов контакт с указанными веществами может быть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разовым и относительно кратковременным. Однако для медицинского персонала контакт с указанными перчаткам будет производиться ежедневно на протяжении большей части смены, поэтому воздействие указанных веществ создает условия повышенного риска для здоровья медицинского персонала.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2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требовании к материалу упаковки отсутствует требование к конкретному типу, марке и пр. критериев материала. Требуется пластиковая либо полимерная упаковка, что не имеет разницы. Указанная формулировка установлена специально, для исключения возможности предложения к поставке бумажной упаковки.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Требование обусловлено рисками и особыми требованиями к проведению стерильных манипуляций.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процессе хранения упаковка перчаток подвергается воздействию многих негативных факторов, которые могут привести к повреждению упаковки и перчаток внутри. В первую очередь существует риск контакта с влагой, антисептиками (в т.ч. брызгам и парами антисептиков) и озоном, который образуется в процессе работы стерилизаторов.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Бумажная упаковка не защищает перчатки от внешних факторов воздействия, неустойчива к механическим повреждениям и влаге, проницаема для озона.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Обеспечение герметичности упаковки - основная характеристика сварного шва, соединяющего пленку и бумажную основу (или две бумажные основы). Показатель герметичности никакими величинами не характеризуется и определяется производителями самостоятельно. При этом, склеивание пленки и бумаги (или бумаги с бумагой) обеспечивает показатели герметичности упаковки, однако приводит к разрывам, как бумаги, так и пленки при вскрытии упаковки, что, в свою очередь, способствует реконтаминации.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Указанное называется эффектом пылеворсовыделения, в связи с которым отделение частиц и волокон бумаги вызывает реконтаминацию.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Наряду с этим, согласно ГОСТ 1СО 11607-1-2018, УПАКОВКА ДЛЯ МЕДИЦИНСКИХ ИЗДЕЛИЙ, ПОДЛЕЖАЩИХ ФИНИШНОЙ СТЕРИЛИЗАЦИИ имеется упоминание в пункте 5.1.9, согласно которому «Отслаивание упаковочного слоя при открывании упаковки должно быть непрерывным и однородным, без расслоения или разрыва материала, способного ухудшить асептические свойства упаковки и их представление при открывании (Бумажная упаковка, при разрыве образует микроволокна вискозы, которые могут попасть в окружающий воздух, на перчатки и далее в операционное поле.)».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Пластиковая упаковка обеспечивает защиту перчаток от влаги, антисептиков и озона, что обеспечивает сохранность перчаток на протяжении всего срока годности. (Бумажная упаковка стерильных перчаток из натурального и синтетического латекса проницаема для газов, в том числе для озона, а также для жидкостей).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всех преимуществ пластиковой упаковки перчаток, подтвержденных практическим опытом, и учитывая то, что большинство производителей используют именно пластиковую упаковку, требование обоснованно и не ограничивает количество участников; исключение данных требований приведет к дополнительным необоснованным рискам.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62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указанного Федерального закона.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пункта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следующий электронный документ: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в соответствии со статьей 33 указанного Федерального закона.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2 части 1 статьи 33 Закона о контрактной системе предусмотрено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части 2 статьи 33 Закона о контрактной систем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части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утверждены: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нужд (далее - Правила формирования и ведения КТРУ);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Правила использования каталога товаров, работ, услуг для обеспечения государственных и муниципальных нужд (далее - Правила использования КТРУ).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пункта 4 Правил использования КТРУ заказчики обязаны применять информацию, включенную в позицию каталога в соответствии с подпунктами «б» - «г» и «е» - «з» пункта 10 Правил формирования и ведения КТРУ с указанной в ней даты начала обязательного применения.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Национальном стандарте Российской Федерации ГОСТ Р 52238-2004 (ИСО 10282:2022) «Перчатки хирургические из каучукового латекса стерильные одноразовые. Спецификация» указано: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«Перчатки должны быть стерильными. В случае запроса должен быть указан метод стерилизации» (п. 6.4. Стерильность);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10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«Перчатки должны быть упакованы в двойную индивидуальную упаковку (внутреннюю и внешнюю) (п. 7. Упаковка).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проанализировав описание объекта закупки, установила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содержится в извещении в структурированной форме и в приложенном к извещению файле.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описанию, объектом закупки являются перчатки хирургические из латекса гевеи, неопудренные, код КТРУ 29.19.60.113-00000001. В указанной позиции КТРУ сведения о характеристиках товара отсутствуют, следовательно, Заказчик осуществляет описание объекта закупки по правилам, предусмотренным статьей 33 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способу стерилизации и упаковке перчаток не противоречат ГОСТ Р 52238-2004.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с учетом пояснений Заказчика приходит к выводу, что установленные требования к характеристикам Товара являются значимыми для Заказчика, а потребность в Товаре с данными характеристиками - обоснованной.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в ЕИС размещен протокол подведения итогов электронного аукциона от 24.09.2024, согласно которому в аукционе участвовали 3 участника, их заявки признаны соответствующими требованиям извещения, при этом лучшее ценовое предложение подано со снижением НМЦК на 56,79%. Указанный факт свидетельствует об отсутствии ограничения количества участников Закупки при установлении спорных требований к Товару.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описание объекта Закупки не противоречит требованиям, установленным статьей 33 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доказательств обратного не представил, в том числе об отсутствии возможности поставить Товар, удовлетворяющий потребностям Заказчика.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 Заявителя о нарушении Заказчиком правил описания объекта закупки не нашел своего подтверждения.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и руководствуясь частью 8 статьи 106 Закона о контрактной системе Комиссия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1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необоснованной.</w:t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8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right"/>
        <w:rPr>
          <w:sz w:val="28"/>
          <w:szCs w:val="28"/>
        </w:rPr>
      </w:pPr>
      <w:r>
        <mc:AlternateContent>
          <mc:Choice Requires="wps">
            <w:drawing>
              <wp:anchor distT="24130" distB="1201420" distL="114300" distR="1988820" simplePos="0" relativeHeight="125829380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margin">
                  <wp:posOffset>1656080</wp:posOffset>
                </wp:positionV>
                <wp:extent cx="1828800" cy="75565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755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4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800000000000004pt;margin-top:130.40000000000001pt;width:144.pt;height:59.5pt;z-index:-125829373;mso-wrap-distance-left:9.pt;mso-wrap-distance-top:1.9000000000000001pt;mso-wrap-distance-right:156.59999999999999pt;mso-wrap-distance-bottom:94.60000000000000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4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drawing>
          <wp:anchor distT="0" distB="0" distL="2458085" distR="114300" simplePos="0" relativeHeight="125829382" behindDoc="0" locked="0" layoutInCell="1" allowOverlap="1">
            <wp:simplePos x="0" y="0"/>
            <wp:positionH relativeFrom="page">
              <wp:posOffset>3077845</wp:posOffset>
            </wp:positionH>
            <wp:positionV relativeFrom="margin">
              <wp:posOffset>1631950</wp:posOffset>
            </wp:positionV>
            <wp:extent cx="1359535" cy="1981200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359535" cy="19812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Е.В. Фисенко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righ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Е.В. Шендрик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0"/>
        <w:jc w:val="righ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С.Н. Парфирьева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0"/>
        <w:jc w:val="righ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Л.Б. Шиханова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Исп.Парфирьева С.Н.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 (499) 755-23-23, 041-201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7" w:right="527" w:bottom="1185" w:left="108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10024745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2024-2694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450000000000003pt;margin-top:789.35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2024-2694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2024-2694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2024-2694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8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8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8"/>
      <w:sz w:val="16"/>
      <w:szCs w:val="16"/>
      <w:u w:val="none"/>
    </w:rPr>
  </w:style>
  <w:style w:type="character" w:customStyle="1" w:styleId="CharStyle11">
    <w:name w:val="Основной текст (3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8"/>
      <w:sz w:val="19"/>
      <w:szCs w:val="19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Заголовок №3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Основной текст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27">
    <w:name w:val="Основной текст (4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5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8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8"/>
      <w:sz w:val="16"/>
      <w:szCs w:val="16"/>
      <w:u w:val="none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8"/>
      <w:sz w:val="19"/>
      <w:szCs w:val="19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Заголовок №3"/>
    <w:basedOn w:val="Normal"/>
    <w:link w:val="CharStyle17"/>
    <w:pPr>
      <w:widowControl w:val="0"/>
      <w:shd w:val="clear" w:color="auto" w:fill="auto"/>
      <w:spacing w:after="130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spacing w:after="4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6">
    <w:name w:val="Основной текст (4)"/>
    <w:basedOn w:val="Normal"/>
    <w:link w:val="CharStyle27"/>
    <w:pPr>
      <w:widowControl w:val="0"/>
      <w:shd w:val="clear" w:color="auto" w:fill="auto"/>
      <w:spacing w:after="3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/Relationships>
</file>