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1о777г1ак.цоу.ги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27.09.2024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39956/24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«РНЦРР» Минздрава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1огд1П1сп@'дтаП.сот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Абдамитов А.А.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189" w:bottom="621" w:left="1265" w:header="0" w:footer="3" w:gutter="0"/>
          <w:cols w:num="2" w:space="720" w:equalWidth="0">
            <w:col w:w="3835" w:space="1306"/>
            <w:col w:w="4306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а4атйой@уапдех.ги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71" w:after="7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9" w:right="0" w:bottom="98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077/06/106-12940/2024 о нарушении</w:t>
        <w:br/>
        <w:t>законодательства о контрактной системе</w:t>
        <w:br/>
        <w:t>26.09.2024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конференц-связи),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«РНЦРР» Минздрава России: В.Б. Ким (по дов. № 10 от 18.11.2023), Ю.И. Димитриевой (по дов. № 9 от 02.11.2023),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Абдамитов А.А.: Н.И. Витык (по дов. № б/н от 20.09.2024), В.В. Мацькова (по дов. № б/н от 20.09.2024),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20" w:line="216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Абдамитов А.А. (далее — Заявитель) на действия ФГБУ «РНЦРР» Минздрава России (далее — Заказчик) при проведении электронного аукциона на право заключения государственного контракта на поставку медицинских изделий (Закупка № 0373100032624000291)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23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комиссии по осуществлению закупок Заказчика (далее—комиссия Заказчика), выразившиеся в отклонении заявки Заявителя.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от 20.09.2024 №ИЭА2 заявка Заявителя (идентификационный номер заявки 1071370) отклонена на следующем основании: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«Отклонить заявку на участие в закупке по п.8 ч.12 ст.48 №44-ФЗ «Выявление недостоверной информации, содержащейся в заявке на участие в закупке» Заявка участника содержит недостоверные сведения по позиции: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 товара: 32.50.13.110-00650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товара: Катетер баллонный для коронарной ангиопластики, стандартный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медицинского изделия в соответствии с регистрационным удостоверением: Катетер для баллонной дилатации коронарных артерий ТКЕК ОТШ ТКЕК II ОТШ / Катетер баллонный ТКЕК/МШ1 ТКЕК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диаметре баллона 2 мм Участник указал внешний диаметр дистальной части &gt;= 0.76 &lt;= 0.81 мм, что не соответствует инструкции по применению на данный товар, размещенной на сайте кир8://^^м.го8?с1гаупа&amp;ог.ги/&gt;&gt;.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п.1, п.3 ч.2 ст.42 Закона о контрактной системе, извещение об осуществлении закупки должно содержать описание объекта закупки в соответствии со ст.33 Закона о контрактной системе,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Заказчиком в изменениях извещения о проведении электронного аукциона от 11.09.2024 №ИИ2 установлены в том числе следующие требования к поставляемым товарам, в частности: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«Катетер баллонный для коронарной ангиопластики, стандартный», код позиции 32.50.13.110-00650: «Диаметр баллона: &gt; 1.76 и &lt; 2», «Внешний диаметр дистальной части: &gt; 0.74 и &lt; 0.91».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2 ч. 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2 ст. 43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 2 ст. 43 Закона о контрактной системе предложение по критериям, предусмотренным п. 2 и (или) 3 ч. 1 ст. 32 Закона о контрактной системе(в случае проведения аукционов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6" w:val="left"/>
        </w:tabs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«Описанию объекта закупки и требованиям к содержанию, составу заявки на участие в закупке в соответствии с № 44-ФЗ» Заказчиком установлено требование о том, что для участия в конкурентном способе заявка на участие в закупке должна содержать, в том числе: «характеристики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№ 44-ФЗ, товарный знак (при наличии у товара товарного знака); (информация о товаре,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 Информация,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знаком. информация, не включается в заявку на участие в закупке в случае включения заказчиком в соответствии с пунктом 8 части 1 статьи 33 № 44-ФЗ 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установлено, что в составе заявки Заявитель представил сведения об объекте закупки, в частности: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п. «Катетер баллонный для коронарной ангиопластики, стандартный: Наименование медицинского изделия в соответствии с регистрационным удостоверением: Катетер для баллонной дилатации коронарных артерий ТКЕК ОТЛЕ ТКЕК II ОТ\Е / Катетер баллонный ТКЕК / ММ ТКЕК»: «Диаметр баллоная: 2», «Внешний диаметр дистальной части: &gt;= 0.76 &lt;= 0.81», что соответствует требованиям извещения об осуществлении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Комиссией Управления установлено, что в составе заявки Заявитель представил, в том числе следующее регистрационное удостоверение: № РЗН 2020/11979 от 15.03.2024 на «Катетер для баллонной дилатации коронарных артерий ТКЕК» производства «Эбботт Медикал», США.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 Заявитель представил конкретные значения, которые указываются непосредственно на упаковках товара. Для катетеров ТКЕК ОТ"Ш и МШ1 ТКЕК ОТ"Ш данные значения составляют 0.76 мм для размеров диаметра 1.20 - 2.0 мм и 0.81 мм для 2.25 - 5.0 мм, при этом данные значения попадают в диапазон, установленный инструкцией производителя, а также в диапазон, установленный в техническом задании.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Следует отметить, что значения 0.76 мм и 0.81 мм указываются для всех длин перечисленных диаметров, то есть значения 0.74, 0.79 нигде не отражаются.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на сайте Росздравнадзора представлены упаковки катетеров, в том числе наименьший размер в линейке 1.20х6мм, который также имеет дистальный диаметр 0.76 мм, при этом указание на 0.74 мм отсутствует.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представитель Заявителя добавил, что ввиду того, что Заказчику не требовалось указывать минимальный и максимальный диаметр, а также, учитывая, что значения 0.76 мм и 0.81 мм попадают в установленные производителем диапазоны в соответствии с диаметром, Заявителем было принято решение указывать данное значение, во избежание противоречий при приемке товара. Учитывая тот факт, что упаковка имеет лишь одно конкретное значение, которое попадает в диапазон по инструкции и по техническому заданию, противоречие отсутствует, а значения показателей являются достоверными.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не согласившись с доводом Заявителя пояснил, что согласно инструкции по применению, размещенной на сайте Росздравнадзора, указанные модификации закупаемых катетеров имеют следующие значения внешних диаметров дистальной части: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320"/>
        <w:jc w:val="both"/>
      </w:pPr>
      <w:r>
        <w:rPr>
          <w:i/>
          <w:iCs/>
          <w:color w:val="2B2B2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Внешний диаметр</w:t>
      </w:r>
      <w:r>
        <w:rPr>
          <w:i/>
          <w:iCs/>
          <w:color w:val="2B2B2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катетера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32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 таблице ниже указаны наружные диаметры следующих участков катетера: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/>
        <w:ind w:right="0"/>
        <w:jc w:val="both"/>
      </w:pP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Дистальной части </w:t>
      </w:r>
      <w:r>
        <w:rPr>
          <w:color w:val="2B2B2B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(ОРр)</w:t>
      </w:r>
      <w:r>
        <w:rPr>
          <w:color w:val="2B2B2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измеряется на расстоянии 3,0 см от проксимального уплотнения баллона при номинальном давлении (800 кПа);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80"/>
        <w:ind w:right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Проксимальной части </w:t>
      </w:r>
      <w:r>
        <w:rPr>
          <w:i/>
          <w:iCs/>
          <w:color w:val="2B2B2B"/>
          <w:spacing w:val="0"/>
          <w:w w:val="100"/>
          <w:position w:val="0"/>
          <w:shd w:val="clear" w:color="auto" w:fill="auto"/>
          <w:lang w:val="ru-RU" w:eastAsia="ru-RU" w:bidi="ru-RU"/>
        </w:rPr>
        <w:t>(ОО</w:t>
      </w:r>
      <w:r>
        <w:rPr>
          <w:i/>
          <w:iCs/>
          <w:color w:val="2B2B2B"/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р</w:t>
      </w:r>
      <w:r>
        <w:rPr>
          <w:i/>
          <w:iCs/>
          <w:color w:val="2B2B2B"/>
          <w:spacing w:val="0"/>
          <w:w w:val="100"/>
          <w:position w:val="0"/>
          <w:shd w:val="clear" w:color="auto" w:fill="auto"/>
          <w:lang w:val="ru-RU" w:eastAsia="ru-RU" w:bidi="ru-RU"/>
        </w:rPr>
        <w:t>у.</w:t>
      </w:r>
      <w:r>
        <w:rPr>
          <w:color w:val="2B2B2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измеряется приблизительно по центру между проксимальными метками катетера;</w:t>
      </w:r>
    </w:p>
    <w:tbl>
      <w:tblPr>
        <w:tblOverlap w:val="never"/>
        <w:jc w:val="center"/>
        <w:tblLayout w:type="fixed"/>
      </w:tblPr>
      <w:tblGrid>
        <w:gridCol w:w="2683"/>
        <w:gridCol w:w="1800"/>
        <w:gridCol w:w="1829"/>
        <w:gridCol w:w="3451"/>
      </w:tblGrid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5C5D5E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Диаметр баллона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2B2B2B"/>
                <w:spacing w:val="0"/>
                <w:w w:val="100"/>
                <w:position w:val="0"/>
                <w:sz w:val="18"/>
                <w:szCs w:val="18"/>
                <w:u w:val="single"/>
                <w:shd w:val="clear" w:color="auto" w:fill="auto"/>
                <w:lang w:val="ru-RU" w:eastAsia="ru-RU" w:bidi="ru-RU"/>
              </w:rPr>
              <w:t xml:space="preserve">ОРс/, </w:t>
            </w:r>
            <w:r>
              <w:rPr>
                <w:rFonts w:ascii="Arial" w:eastAsia="Arial" w:hAnsi="Arial" w:cs="Arial"/>
                <w:b/>
                <w:bCs/>
                <w:color w:val="5C5D5E"/>
                <w:spacing w:val="0"/>
                <w:w w:val="100"/>
                <w:position w:val="0"/>
                <w:sz w:val="18"/>
                <w:szCs w:val="18"/>
                <w:u w:val="single"/>
                <w:shd w:val="clear" w:color="auto" w:fill="auto"/>
                <w:lang w:val="ru-RU" w:eastAsia="ru-RU" w:bidi="ru-RU"/>
              </w:rPr>
              <w:t>мм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2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2B2B2B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ОР</w:t>
            </w:r>
            <w:r>
              <w:rPr>
                <w:rFonts w:ascii="Arial" w:eastAsia="Arial" w:hAnsi="Arial" w:cs="Arial"/>
                <w:b/>
                <w:bCs/>
                <w:color w:val="2B2B2B"/>
                <w:spacing w:val="0"/>
                <w:w w:val="100"/>
                <w:position w:val="0"/>
                <w:sz w:val="18"/>
                <w:szCs w:val="18"/>
                <w:shd w:val="clear" w:color="auto" w:fill="auto"/>
                <w:vertAlign w:val="subscript"/>
                <w:lang w:val="ru-RU" w:eastAsia="ru-RU" w:bidi="ru-RU"/>
              </w:rPr>
              <w:t>р</w:t>
            </w:r>
            <w:r>
              <w:rPr>
                <w:rFonts w:ascii="Arial" w:eastAsia="Arial" w:hAnsi="Arial" w:cs="Arial"/>
                <w:b/>
                <w:bCs/>
                <w:color w:val="2B2B2B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 xml:space="preserve">, </w:t>
            </w:r>
            <w:r>
              <w:rPr>
                <w:rFonts w:ascii="Arial" w:eastAsia="Arial" w:hAnsi="Arial" w:cs="Arial"/>
                <w:b/>
                <w:bCs/>
                <w:color w:val="5C5D5E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мм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5C5D5E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мин.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5C5D5E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макс.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3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5C5D5E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не более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5C5D5E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 xml:space="preserve">1.20 </w:t>
            </w:r>
            <w:r>
              <w:rPr>
                <w:rFonts w:ascii="Arial" w:eastAsia="Arial" w:hAnsi="Arial" w:cs="Arial"/>
                <w:b/>
                <w:bCs/>
                <w:color w:val="7A7B7A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 xml:space="preserve">— </w:t>
            </w:r>
            <w:r>
              <w:rPr>
                <w:rFonts w:ascii="Arial" w:eastAsia="Arial" w:hAnsi="Arial" w:cs="Arial"/>
                <w:b/>
                <w:bCs/>
                <w:color w:val="5C5D5E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2,00 мм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5C5D5E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0,74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3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5C5D5E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0,79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3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5C5D5E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1.14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5C5D5E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 xml:space="preserve">2,25 </w:t>
            </w:r>
            <w:r>
              <w:rPr>
                <w:rFonts w:ascii="Arial" w:eastAsia="Arial" w:hAnsi="Arial" w:cs="Arial"/>
                <w:b/>
                <w:bCs/>
                <w:color w:val="7A7B7A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 xml:space="preserve">— </w:t>
            </w:r>
            <w:r>
              <w:rPr>
                <w:rFonts w:ascii="Arial" w:eastAsia="Arial" w:hAnsi="Arial" w:cs="Arial"/>
                <w:b/>
                <w:bCs/>
                <w:color w:val="5C5D5E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5,00 мм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5C5D5E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0,76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3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5C5D5E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0,81</w:t>
            </w:r>
          </w:p>
        </w:tc>
        <w:tc>
          <w:tcPr>
            <w:vMerge/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center"/>
          </w:tcPr>
          <w:p>
            <w:pPr/>
          </w:p>
        </w:tc>
      </w:tr>
    </w:tbl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i/>
          <w:iCs/>
          <w:color w:val="2B2B2B"/>
          <w:spacing w:val="0"/>
          <w:w w:val="100"/>
          <w:position w:val="0"/>
          <w:shd w:val="clear" w:color="auto" w:fill="auto"/>
          <w:lang w:val="ru-RU" w:eastAsia="ru-RU" w:bidi="ru-RU"/>
        </w:rPr>
        <w:t>Размеры отверстия для проводника</w:t>
      </w:r>
    </w:p>
    <w:p>
      <w:pPr>
        <w:pStyle w:val="Style29"/>
        <w:keepNext w:val="0"/>
        <w:keepLines w:val="0"/>
        <w:widowControl w:val="0"/>
        <w:shd w:val="clear" w:color="auto" w:fill="auto"/>
        <w:tabs>
          <w:tab w:leader="underscore" w:pos="9547" w:val="left"/>
        </w:tabs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Внутренний диаметр отверстия и полости для проводника должен быть таким, чтобы через него без заеданий проходил испытательный мандрен (проводник) номинального диаметра не менее 0,38 мм (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0,015").</w:t>
      </w:r>
      <w:r>
        <w:rPr>
          <w:color w:val="B9BABA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4"/>
          <w:szCs w:val="14"/>
        </w:rPr>
      </w:pPr>
      <w:r>
        <w:rPr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 xml:space="preserve">Страница </w:t>
      </w:r>
      <w:r>
        <w:rPr>
          <w:color w:val="2B2B2B"/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 xml:space="preserve">21 </w:t>
      </w:r>
      <w:r>
        <w:rPr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>из 57</w:t>
      </w:r>
    </w:p>
    <w:p>
      <w:pPr>
        <w:widowControl w:val="0"/>
        <w:spacing w:after="35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из инструкции по применению медицинского изделия однозначно следуют значения и величины характеристик вышеуказанного параметра закупаемого товара.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очередь, Комиссия Управления отмечает, что недостоверность представленных в составе заявке сведений относительно внешнего диаметра дистальной части предлагаемого к поставке товара напрямую следует из информации, содержащейся в регистрационном удостоверении, поскольку согласно представленному значению Заявителем предлагается к поставке товар со значением: &gt;= 0.76 &lt;= 0.81 по оспариваемому показателю при диаметре баллона: 2 мм, при этом, согласно инструкции, размещенной на сайте Росздравнадзора, к регистрационному удостоверению № РЗН 2020/11979 от 15.03.2024 для диаметра баллона: 1,20 — 2,00 мм внешний диаметр дистальной части составляет от 0,74 до 0,79 мм, ввиду чего максимальное значение по данному показателю для диаметра 2 мм составляет 0,79.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отмечает, что заявка Заявителя не соответствует требованиям извещения об осуществлении закупки и Закону о контрактной системе, поскольку содержит в себе недостоверные сведения.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— п.8 ч.12 ст.48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1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16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16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16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2" w:val="left"/>
        </w:tabs>
        <w:bidi w:val="0"/>
        <w:spacing w:before="0" w:after="0" w:line="216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2" w:val="left"/>
        </w:tabs>
        <w:bidi w:val="0"/>
        <w:spacing w:before="0" w:after="0" w:line="216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50" w:val="left"/>
        </w:tabs>
        <w:bidi w:val="0"/>
        <w:spacing w:before="0" w:after="0" w:line="216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14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18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у комиссии Заказчика имелись основания для отклонения заявки Заявителя и решение комиссии Заказчика по основанию, отраженному в протоколе подведения итогов определения поставщика (подрядчика, исполнителя), является правомерным, в связи с чем данный довод жалобы не нашел своего подтверждения и является необоснованным.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1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7" w:val="left"/>
        </w:tabs>
        <w:bidi w:val="0"/>
        <w:spacing w:before="0" w:after="0" w:line="214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ИП Абдамитов А.А. на действия комиссии ФГБУ «РНЦРР» Минздрава России необоснованной.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1" w:val="left"/>
        </w:tabs>
        <w:bidi w:val="0"/>
        <w:spacing w:before="0" w:after="280" w:line="21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9" w:right="535" w:bottom="980" w:left="10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219075" distL="0" distR="0" simplePos="0" relativeHeight="125829378" behindDoc="0" locked="0" layoutInCell="1" allowOverlap="1">
                <wp:simplePos x="0" y="0"/>
                <wp:positionH relativeFrom="page">
                  <wp:posOffset>729615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450000000000003pt;margin-top:42.pt;width:145.70000000000002pt;height:19.699999999999999pt;z-index:-125829375;mso-wrap-distance-left:0;mso-wrap-distance-top:42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3250" distB="0" distL="0" distR="1789430" simplePos="0" relativeHeight="125829380" behindDoc="0" locked="0" layoutInCell="1" allowOverlap="1">
            <wp:simplePos x="0" y="0"/>
            <wp:positionH relativeFrom="page">
              <wp:posOffset>3100705</wp:posOffset>
            </wp:positionH>
            <wp:positionV relativeFrom="paragraph">
              <wp:posOffset>603250</wp:posOffset>
            </wp:positionV>
            <wp:extent cx="353695" cy="40259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3518535</wp:posOffset>
                </wp:positionH>
                <wp:positionV relativeFrom="paragraph">
                  <wp:posOffset>694690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77.05000000000001pt;margin-top:54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60705" distB="191770" distL="0" distR="0" simplePos="0" relativeHeight="125829381" behindDoc="0" locked="0" layoutInCell="1" allowOverlap="1">
                <wp:simplePos x="0" y="0"/>
                <wp:positionH relativeFrom="page">
                  <wp:posOffset>6179185</wp:posOffset>
                </wp:positionH>
                <wp:positionV relativeFrom="paragraph">
                  <wp:posOffset>560705</wp:posOffset>
                </wp:positionV>
                <wp:extent cx="102997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6.55000000000001pt;margin-top:44.149999999999999pt;width:81.100000000000009pt;height:19.699999999999999pt;z-index:-125829372;mso-wrap-distance-left:0;mso-wrap-distance-top:44.149999999999999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C5D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000590946031СЕ073ВЕ5С506ЕЕ7501 </w:t>
      </w:r>
      <w:r>
        <w:rPr>
          <w:color w:val="5C5D5E"/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color w:val="5C5D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C5D5E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3067050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3563620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0.60000000000002pt;margin-top:36.55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3517900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pt;margin-top:12.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7A7B7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0092302А1Е2Е82694604ЕЕЕ772202557ЕЕ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7A7B7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560" w:right="0" w:firstLine="0"/>
        <w:jc w:val="left"/>
      </w:pPr>
      <w:r>
        <w:drawing>
          <wp:anchor distT="0" distB="0" distL="114300" distR="1921510" simplePos="0" relativeHeight="125829384" behindDoc="0" locked="0" layoutInCell="1" allowOverlap="1">
            <wp:simplePos x="0" y="0"/>
            <wp:positionH relativeFrom="page">
              <wp:posOffset>3125470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3518535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05000000000001pt;margin-top:11.7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4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</w:pPr>
      <w:r>
        <w:rPr>
          <w:color w:val="EAEAEA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C5D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C5D5E"/>
          <w:spacing w:val="0"/>
          <w:w w:val="100"/>
          <w:position w:val="0"/>
          <w:shd w:val="clear" w:color="auto" w:fill="auto"/>
          <w:lang w:val="ru-RU" w:eastAsia="ru-RU" w:bidi="ru-RU"/>
        </w:rPr>
        <w:t>008АВСВВ24Э1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В04705С4В0130528702ЕАЕ</w:t>
      </w:r>
    </w:p>
    <w:p>
      <w:pPr>
        <w:pStyle w:val="Style45"/>
        <w:keepNext w:val="0"/>
        <w:keepLines w:val="0"/>
        <w:widowControl w:val="0"/>
        <w:shd w:val="clear" w:color="auto" w:fill="auto"/>
        <w:bidi w:val="0"/>
        <w:spacing w:before="0" w:after="3960" w:line="240" w:lineRule="auto"/>
        <w:ind w:right="0" w:firstLine="0"/>
        <w:jc w:val="left"/>
      </w:pPr>
      <w:r>
        <w:rPr>
          <w:color w:val="5C5D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C5D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C5D5E"/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pStyle w:val="Style5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730885</wp:posOffset>
              </wp:positionH>
              <wp:positionV relativeFrom="page">
                <wp:posOffset>10109200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2024-45367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550000000000004pt;margin-top:796.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2024-45367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2024-45367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7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2024-45367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492760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30000000000001pt;margin-top:38.800000000000004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3">
    <w:name w:val="Основной текст (3)_"/>
    <w:basedOn w:val="DefaultParagraphFont"/>
    <w:link w:val="Style22"/>
    <w:rPr>
      <w:rFonts w:ascii="Arial" w:eastAsia="Arial" w:hAnsi="Arial" w:cs="Arial"/>
      <w:b/>
      <w:bCs/>
      <w:i w:val="0"/>
      <w:iCs w:val="0"/>
      <w:smallCaps w:val="0"/>
      <w:strike w:val="0"/>
      <w:color w:val="5C5D5E"/>
      <w:sz w:val="18"/>
      <w:szCs w:val="18"/>
      <w:u w:val="none"/>
    </w:rPr>
  </w:style>
  <w:style w:type="character" w:customStyle="1" w:styleId="CharStyle30">
    <w:name w:val="Подпись к таблице_"/>
    <w:basedOn w:val="DefaultParagraphFont"/>
    <w:link w:val="Style29"/>
    <w:rPr>
      <w:rFonts w:ascii="Arial" w:eastAsia="Arial" w:hAnsi="Arial" w:cs="Arial"/>
      <w:b/>
      <w:bCs/>
      <w:i w:val="0"/>
      <w:iCs w:val="0"/>
      <w:smallCaps w:val="0"/>
      <w:strike w:val="0"/>
      <w:color w:val="5C5D5E"/>
      <w:sz w:val="18"/>
      <w:szCs w:val="18"/>
      <w:u w:val="none"/>
    </w:rPr>
  </w:style>
  <w:style w:type="character" w:customStyle="1" w:styleId="CharStyle37">
    <w:name w:val="Другое_"/>
    <w:basedOn w:val="DefaultParagraphFont"/>
    <w:link w:val="Style3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46">
    <w:name w:val="Основной текст (2)_"/>
    <w:basedOn w:val="DefaultParagraphFont"/>
    <w:link w:val="Style45"/>
    <w:rPr>
      <w:rFonts w:ascii="Arial" w:eastAsia="Arial" w:hAnsi="Arial" w:cs="Arial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character" w:customStyle="1" w:styleId="CharStyle53">
    <w:name w:val="Основной текст (5)_"/>
    <w:basedOn w:val="DefaultParagraphFont"/>
    <w:link w:val="Styl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2">
    <w:name w:val="Основной текст (3)"/>
    <w:basedOn w:val="Normal"/>
    <w:link w:val="CharStyle23"/>
    <w:pPr>
      <w:widowControl w:val="0"/>
      <w:shd w:val="clear" w:color="auto" w:fill="auto"/>
      <w:spacing w:line="226" w:lineRule="auto"/>
      <w:ind w:left="320" w:firstLine="20"/>
    </w:pPr>
    <w:rPr>
      <w:rFonts w:ascii="Arial" w:eastAsia="Arial" w:hAnsi="Arial" w:cs="Arial"/>
      <w:b/>
      <w:bCs/>
      <w:i w:val="0"/>
      <w:iCs w:val="0"/>
      <w:smallCaps w:val="0"/>
      <w:strike w:val="0"/>
      <w:color w:val="5C5D5E"/>
      <w:sz w:val="18"/>
      <w:szCs w:val="18"/>
      <w:u w:val="none"/>
    </w:rPr>
  </w:style>
  <w:style w:type="paragraph" w:customStyle="1" w:styleId="Style29">
    <w:name w:val="Подпись к таблице"/>
    <w:basedOn w:val="Normal"/>
    <w:link w:val="CharStyle30"/>
    <w:pPr>
      <w:widowControl w:val="0"/>
      <w:shd w:val="clear" w:color="auto" w:fill="auto"/>
      <w:spacing w:line="221" w:lineRule="auto"/>
      <w:ind w:left="320"/>
    </w:pPr>
    <w:rPr>
      <w:rFonts w:ascii="Arial" w:eastAsia="Arial" w:hAnsi="Arial" w:cs="Arial"/>
      <w:b/>
      <w:bCs/>
      <w:i w:val="0"/>
      <w:iCs w:val="0"/>
      <w:smallCaps w:val="0"/>
      <w:strike w:val="0"/>
      <w:color w:val="5C5D5E"/>
      <w:sz w:val="18"/>
      <w:szCs w:val="18"/>
      <w:u w:val="none"/>
    </w:rPr>
  </w:style>
  <w:style w:type="paragraph" w:customStyle="1" w:styleId="Style36">
    <w:name w:val="Другое"/>
    <w:basedOn w:val="Normal"/>
    <w:link w:val="CharStyle3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5">
    <w:name w:val="Основной текст (2)"/>
    <w:basedOn w:val="Normal"/>
    <w:link w:val="CharStyle46"/>
    <w:pPr>
      <w:widowControl w:val="0"/>
      <w:shd w:val="clear" w:color="auto" w:fill="auto"/>
      <w:spacing w:after="40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B2B2B"/>
      <w:sz w:val="12"/>
      <w:szCs w:val="12"/>
      <w:u w:val="none"/>
    </w:rPr>
  </w:style>
  <w:style w:type="paragraph" w:customStyle="1" w:styleId="Style52">
    <w:name w:val="Основной текст (5)"/>
    <w:basedOn w:val="Normal"/>
    <w:link w:val="CharStyle5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