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24510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24510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64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Нижегородской области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 w:val="0"/>
          <w:bCs w:val="0"/>
          <w:spacing w:val="0"/>
          <w:w w:val="100"/>
          <w:position w:val="0"/>
          <w:shd w:val="clear" w:color="auto" w:fill="auto"/>
          <w:lang w:val="ru-RU" w:eastAsia="ru-RU" w:bidi="ru-RU"/>
        </w:rPr>
        <w:t>пл. Горького, 6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300" w:right="0" w:firstLine="560"/>
        <w:jc w:val="left"/>
      </w:pPr>
      <w:r>
        <w:rPr>
          <w:b w:val="0"/>
          <w:bCs w:val="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г. Нижний Новгород, 603000 тел. (831)431-73-73,(831)431-73-83 </w:t>
      </w:r>
      <w:r>
        <w:rPr>
          <w:b w:val="0"/>
          <w:bCs w:val="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е-шаП: 1о52@Га8.§оу.ги</w:t>
      </w:r>
    </w:p>
    <w:p>
      <w:pPr>
        <w:pStyle w:val="Style9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0.09.2024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ИК/18133/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24</w:t>
      </w:r>
      <w:bookmarkEnd w:id="0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0" w:firstLine="0"/>
        <w:jc w:val="left"/>
      </w:pPr>
      <w:r>
        <w:rPr>
          <w:b w:val="0"/>
          <w:bCs w:val="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 по жалобе</w:t>
        <w:br/>
        <w:t>№052/06/105-2440/2024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  <w:rPr>
          <w:sz w:val="26"/>
          <w:szCs w:val="26"/>
        </w:rPr>
      </w:pPr>
      <w:r>
        <w:rPr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 xml:space="preserve">Государственное бюджетное учреждение здравоохранения Нижегородской области "Нижегородская областная детская клиническая больница" </w:t>
      </w: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603136, Нижегородская область, город Нижний Новгород, ул. Ванеева, д.211 к§@по4кЪ.ги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6"/>
          <w:szCs w:val="26"/>
        </w:rPr>
      </w:pPr>
      <w:r>
        <w:rPr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ЭТП Газпромбанк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117342, город Москва, Миклухо-Маклая улица, дом 40, подвал помещение I ком 25 т&amp;@ефдрЪ.ги, тагке!:тд@ефдрЪ.ги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6"/>
          <w:szCs w:val="26"/>
        </w:rPr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4" w:right="714" w:bottom="2196" w:left="1140" w:header="0" w:footer="3" w:gutter="0"/>
          <w:pgNumType w:start="1"/>
          <w:cols w:num="2" w:space="475"/>
          <w:noEndnote/>
          <w:titlePg/>
          <w:rtlGutter w:val="0"/>
          <w:docGrid w:linePitch="360"/>
        </w:sectPr>
      </w:pPr>
      <w:r>
        <w:rPr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 xml:space="preserve">ООО "АЛЬФА-МЕД" </w:t>
      </w: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апа§):а8у001@гатЫег.ги</w:t>
      </w:r>
    </w:p>
    <w:p>
      <w:pPr>
        <w:widowControl w:val="0"/>
        <w:spacing w:before="29" w:after="2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93" w:right="0" w:bottom="169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№ 052/06/105-2440/2024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705485</wp:posOffset>
                </wp:positionH>
                <wp:positionV relativeFrom="paragraph">
                  <wp:posOffset>12700</wp:posOffset>
                </wp:positionV>
                <wp:extent cx="1456690" cy="219710"/>
                <wp:wrapSquare wrapText="right"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5669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27 сентября 2024 года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55.550000000000004pt;margin-top:1.pt;width:114.7pt;height:17.30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27 сентября 2024 года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город Нижний Новгород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700"/>
        <w:jc w:val="both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708660</wp:posOffset>
                </wp:positionH>
                <wp:positionV relativeFrom="paragraph">
                  <wp:posOffset>2171700</wp:posOffset>
                </wp:positionV>
                <wp:extent cx="1063625" cy="216535"/>
                <wp:wrapSquare wrapText="right"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63625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- Елагиной А.И.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55.800000000000004pt;margin-top:171.pt;width:83.75pt;height:17.050000000000001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- Елагиной А.И.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Управления Федеральной антимонопольной службы по Нижегородской области по контролю в сфере закупок в составе:</w:t>
      </w:r>
    </w:p>
    <w:tbl>
      <w:tblPr>
        <w:tblOverlap w:val="never"/>
        <w:jc w:val="center"/>
        <w:tblLayout w:type="fixed"/>
      </w:tblPr>
      <w:tblGrid>
        <w:gridCol w:w="2045"/>
        <w:gridCol w:w="8194"/>
      </w:tblGrid>
      <w:tr>
        <w:trPr>
          <w:trHeight w:val="874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- Канаева И.С.</w:t>
            </w:r>
          </w:p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- Клевцова А.А.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председатель комиссии, заместитель руководителя управления;</w:t>
            </w:r>
          </w:p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4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член комиссии, начальник отдела контроля государственных и муниципальных закупок,</w:t>
            </w:r>
          </w:p>
        </w:tc>
      </w:tr>
      <w:tr>
        <w:trPr>
          <w:trHeight w:val="586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- Войнова М.К.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4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член комиссии, ведущий специалист-эксперт отдела контроля государственных и муниципальных закупок,</w:t>
            </w:r>
          </w:p>
        </w:tc>
      </w:tr>
    </w:tbl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участии посредством видео-конференц-связи:</w:t>
      </w:r>
    </w:p>
    <w:p>
      <w:pPr>
        <w:widowControl w:val="0"/>
        <w:spacing w:after="319" w:line="1" w:lineRule="exact"/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/>
        <w:ind w:left="640" w:right="0" w:hanging="2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- представителя ГБУЗ НО "Нижегородская областная детская клиническая больница" (доверенность №н/б от 23.07.2024),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рассмотрев посредством видеоконферецсвязи жалобу Общества с ограниченной ответственностью "АЛЬФА-МЕД" (далее также - "АЛЬФА-МЕД", общество, заявитель) на действия Государственного бюджетного учреждения здравоохранения Нижегородской области "Нижегородская областная детская клиническая больница" (далее также — Заказчик) при определении поставщика путем проведения запроса котировок в электронной форме на право заключения контракта по объекту закупки: «Аппарат искусственной вентиляции легких», номер извещения 0332200035224000168,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6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установила: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Управление Федеральной антимонопольной службы по Нижегородской области поступила жалоба заявителя на действия заказчика при проведении запроса котировок в электронной форме на право заключения контракта по объекту закупки: «Аппарат искусственной вентиляции легких», номер извещения 0332200035224000168.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 мнению заявителя, действия заказчика не соответствуют требованиям положений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также - Закон о контрактной системе).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Представители заказчика на заседании Комиссии Нижегородского УФАС России с доводами, изложенными в жалобе заявителя, не согласились, факт нарушений требований Закона о контрактной системе не признали, считают жалобу заявителя необоснованной, а требования, изложенные в ней, не подлежащими удовлетворению.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Управления Федеральной антимонопольной службы по Нижегородской области по контролю в сфере закупок, выслушав доводы лиц, участвующих в рассмотрении жалобы, исследовав их в совокупности с имеющимися в деле материалами и осуществив внеплановую проверку рассматриваемой закупки в соответствии с требованиями части 15 статьи 99 Закона о контрактной системе, пришла к следующим выводам.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1) 16.09.2024 в единой информационной системе и на сайте электронной площадки - ЭТП Газпромбанк - размещено извещение о проведении запроса котировок в электронной форме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Начальная (максимальная) цена контракта - 4 160 000,00 рублей.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2) ООО «Альфа-мед» считает положения документации электронного аукциона № 0332200035224000168 несоответствующими законодательству о контрактной системе по следующим основаниям: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1. В виду отсутствия характеристик КТРУ, Заказчиком были указаны дополнительные характеристики. Одним из требований Заказчика является «Диапазон регулирования дыхательного объема — не уже 2-200 мл». Нижняя граница указанного диапазона применяется только у недоношенных новорожденных с экстремальной низкой массой тела в 500 грамм. Таким образом, данное описание объекта закупки приводят к ограничению конкуренции, в частности необоснованному ограничению числа участников закупки.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2. Начальная максимальная цена контракта является крайне завышенной, и является грубым нарушением принципов ответственности за результативность обеспечения государственных и муниципальных нужд и эффективность осуществления закупки.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пункту 1 части 1 статьи 33 Закона № 44-ФЗ о контрактной системе при описании объекта закупки указываются функциональные, технические и качественные характеристики, эксплуатационные характеристики объекта закупки, связанные непосредственно с потребностями заказчика.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п. 1 и п.3 ч. 1 ст.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информацию: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1) описание объекта закупки в соответствии со статьей 33 настоящего Федерального закона;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3) требования к содержанию, составу заявки на участие в закупке в соответствии с настоящим Федеральным законом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ч. 6 ст. 31 Закона о контрактной системе, Заказчики не вправе устанавливать требования к участникам закупок в нарушение требований настоящего Федерального закона.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Частью 2 статьи 33 Закона о контрактной системе предусмотрено, что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из буквального толкования названных положений следует, что заказчики, осуществляющие закупку по правилам данного закона, при описании объекта закупки должны таким образом определить требования к закупаемым товарам, работам, услугам, чтобы, с одной стороны, повысить шансы на приобретение товара именно с теми характеристиками, которые им необходимы, соответствуют их потребностям, а с другой стороны, необоснованно не ограничить количество участников закупки.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Описание объекта закупки (техническое задание) приведено в извещении о проведении электронного аукциона №0332200035224000168 и в приложении к извещению о проведении электронного аукциона №0332200035224000168 в виде электронного документа с указанием функциональных, технических и качественных характеристик средств для аппарата искусственной вентиляции легких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Указание заказчиком в извещении особых характеристик товара, которые отвечают его потребностям и необходимы заказчику с учетом специфики использования такого товара, не может рассматриваться как ограничение круга потенциальных участников закупки. Возможное сужение круга участников закупки с одновременным повышением эффективности использования финансирования (обеспечение его экономии), исходя из положений пункта 1 статьи 1 Закона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Основной задачей законодательства, устанавливающего порядок проведения торгов, является не столько обеспечение максимально широкого круга участников, сколько выявление в результате торгов лица, исполнение контракта которым в наибольшей степени будет отвечать целям эффективного использования источников финансирования, предотвращения злоупотреблений в сфере закупок. В торгах могут участвовать лишь те лица, которые соответствуют названным целям. При этом для достижения указанной цели заказчик вправе в необходимой степени детализировать объект закупки (его характеристики). Таким образом, включение в извещение о торгах условий, которые в итоге приводят к исключению из круга участников закупки лиц, не отвечающих таким целям, не может рассматриваться как ограничение доступа к участию в торгах.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Специфика каждой закупки определяет необходимые требования к товару, в связи с чем, правомочие на их установление законодательством Российской Федерации о контрактной системе предоставлено заказчику. При формировании технического задания заказчик, исходил из своих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потребностей и собственного опыта работы, руководствуясь необходимостью обеспечить эффективное расходование бюджетных средств. Заказчик вправе самостоятельно определять характеристики товара, которые ему нужны, поскольку именно он формирует свою потребность и вправе рассчитывать на ее удовлетворение. Установление изложенных в документации требований обусловлено спецификой закупаемого товара, его применения. Характеристики являющихся объектом закупки товаров, указанных в Описании объекта закупки, были определены Заказчиком, в том числе, исходя из специфики использования такого товара, и имеют принципиальную значимость для заказчика с учетом его основной деятельности. Потребности Заказчика в указанных характеристиках аппарата искусственной вентиляции легких обусловлены необходимостью обеспечения безопасности здоровья граждан в медицинских организациях, правилами профилактики инфекционных заболеваний.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Довод заявителя, что извещением об осуществлении закупки заказчиком при описании поставляемого товара установлены требования, которым в совокупности соответствует товар единственного производителя, а именно Ох1уеп! (Турция), не обоснован, так как Комиссия Нижегородского УФАС России установила, что на участие в закупке подано 2 заявки, с двумя иными товарными предложениями.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свою очередь, соответствие поставляемого товара описанию объекта закупки Заказчик сможет оценить лишь на этапа приемки поставляемого товара.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вышеизложенного требования заявителя о том, что характеристики товара, установленные заказчиком в закупочной документации ограничивают конкуренцию Комиссией Нижегородского УФАС России признается необоснованным.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частью 8 статьи 99 Федерального закона «О контрактной системе в сфере закупок» органы внутреннего государственного (муниципального) финансового контроля осуществляют контроль в отношении соблюдения предусмотренных настоящим Федеральным законом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услуги, начальной суммы цен единиц товара, работы, услуги, следовательно, довод заявителя о завышении начальной максимальной цены контракта подлежит направлению в орган внутреннего государственного (муниципального) финансового контроля.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 учетом изложенного, руководствуясь частью 8 статьи 106 Федерального закона от 05.04.2013 №44-ФЗ «О контрактной системе в сфере закупок товаров, работ, услуг для обеспечения государственных и муниципальных нужд», Комиссия Управления Федеральной антимонопольной службы по Нижегородской области по контролю в сфере закупок,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8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решила: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Признать жалобу Общества с ограниченной ответственностью "АЛЬФА-МЕД" о нарушении Государственным бюджетным учреждением здравоохранения Нижегородской области "Нижегородская областная детская клиническая больница" о контрактной системе в сфере закупок при осуществлении закупки путем проведения запроса котировок в электронной форме на право заключения контракта по объекту закупки: «Аппарат искусственной вентиляции легких», номер извещения 0332200035224000168, необоснованной.</w:t>
      </w:r>
      <w:r>
        <w:br w:type="page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частью 9 статьи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настоящее решение может быть обжаловано в судебном порядке в течение трех месяцев со дня его принятия.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93" w:right="532" w:bottom="1696" w:left="1100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68300" distB="192405" distL="0" distR="0" simplePos="0" relativeHeight="125829382" behindDoc="0" locked="0" layoutInCell="1" allowOverlap="1">
                <wp:simplePos x="0" y="0"/>
                <wp:positionH relativeFrom="page">
                  <wp:posOffset>732155</wp:posOffset>
                </wp:positionH>
                <wp:positionV relativeFrom="paragraph">
                  <wp:posOffset>368300</wp:posOffset>
                </wp:positionV>
                <wp:extent cx="1828800" cy="252730"/>
                <wp:wrapTopAndBottom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" w:name="bookmark2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  <w:bookmarkEnd w:id="2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57.649999999999999pt;margin-top:29.pt;width:144.pt;height:19.900000000000002pt;z-index:-125829371;mso-wrap-distance-left:0;mso-wrap-distance-top:29.pt;mso-wrap-distance-right:0;mso-wrap-distance-bottom:15.15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" w:name="bookmark2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  <w:bookmarkEnd w:id="2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68630" distB="635" distL="0" distR="1813560" simplePos="0" relativeHeight="125829384" behindDoc="0" locked="0" layoutInCell="1" allowOverlap="1">
            <wp:simplePos x="0" y="0"/>
            <wp:positionH relativeFrom="page">
              <wp:posOffset>3219450</wp:posOffset>
            </wp:positionH>
            <wp:positionV relativeFrom="paragraph">
              <wp:posOffset>468630</wp:posOffset>
            </wp:positionV>
            <wp:extent cx="298450" cy="347345"/>
            <wp:wrapTopAndBottom/>
            <wp:docPr id="14" name="Shap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box 15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3606800</wp:posOffset>
                </wp:positionH>
                <wp:positionV relativeFrom="paragraph">
                  <wp:posOffset>532765</wp:posOffset>
                </wp:positionV>
                <wp:extent cx="1722120" cy="255905"/>
                <wp:wrapNone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284.pt;margin-top:41.950000000000003pt;width:135.59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68300" distB="192405" distL="0" distR="0" simplePos="0" relativeHeight="125829385" behindDoc="0" locked="0" layoutInCell="1" allowOverlap="1">
                <wp:simplePos x="0" y="0"/>
                <wp:positionH relativeFrom="page">
                  <wp:posOffset>6191250</wp:posOffset>
                </wp:positionH>
                <wp:positionV relativeFrom="paragraph">
                  <wp:posOffset>368300</wp:posOffset>
                </wp:positionV>
                <wp:extent cx="1027430" cy="252730"/>
                <wp:wrapTopAndBottom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743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4" w:name="bookmark4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И.С. Канаева</w:t>
                            </w:r>
                            <w:bookmarkEnd w:id="4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487.5pt;margin-top:29.pt;width:80.900000000000006pt;height:19.900000000000002pt;z-index:-125829368;mso-wrap-distance-left:0;mso-wrap-distance-top:29.pt;mso-wrap-distance-right:0;mso-wrap-distance-bottom:15.15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4" w:name="bookmark4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И.С. Канаева</w:t>
                      </w:r>
                      <w:bookmarkEnd w:id="4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6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686868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Канаева Ирина Сергеевна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00Е96ОС66979СВВ6ЕАЕВЕ7249Е54АСЕ02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}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68686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8686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11.07.2024 </w:t>
      </w:r>
      <w:r>
        <w:rPr>
          <w:color w:val="8E8E8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86868"/>
          <w:spacing w:val="0"/>
          <w:w w:val="100"/>
          <w:position w:val="0"/>
          <w:shd w:val="clear" w:color="auto" w:fill="auto"/>
          <w:lang w:val="ru-RU" w:eastAsia="ru-RU" w:bidi="ru-RU"/>
        </w:rPr>
        <w:t>04.10.2025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983" w:right="527" w:bottom="1925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88900" distB="194945" distL="0" distR="0" simplePos="0" relativeHeight="125829387" behindDoc="0" locked="0" layoutInCell="1" allowOverlap="1">
                <wp:simplePos x="0" y="0"/>
                <wp:positionH relativeFrom="page">
                  <wp:posOffset>732155</wp:posOffset>
                </wp:positionH>
                <wp:positionV relativeFrom="paragraph">
                  <wp:posOffset>88900</wp:posOffset>
                </wp:positionV>
                <wp:extent cx="1341120" cy="250190"/>
                <wp:wrapTopAndBottom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112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6" w:name="bookmark6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  <w:bookmarkEnd w:id="6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57.649999999999999pt;margin-top:7.pt;width:105.60000000000001pt;height:19.699999999999999pt;z-index:-125829366;mso-wrap-distance-left:0;mso-wrap-distance-top:7.pt;mso-wrap-distance-right:0;mso-wrap-distance-bottom:15.35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6" w:name="bookmark6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  <w:bookmarkEnd w:id="6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86690" distB="0" distL="0" distR="1813560" simplePos="0" relativeHeight="125829389" behindDoc="0" locked="0" layoutInCell="1" allowOverlap="1">
            <wp:simplePos x="0" y="0"/>
            <wp:positionH relativeFrom="page">
              <wp:posOffset>3219450</wp:posOffset>
            </wp:positionH>
            <wp:positionV relativeFrom="paragraph">
              <wp:posOffset>186690</wp:posOffset>
            </wp:positionV>
            <wp:extent cx="298450" cy="347345"/>
            <wp:wrapTopAndBottom/>
            <wp:docPr id="22" name="Shape 2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box 23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3606800</wp:posOffset>
                </wp:positionH>
                <wp:positionV relativeFrom="paragraph">
                  <wp:posOffset>250825</wp:posOffset>
                </wp:positionV>
                <wp:extent cx="1722120" cy="255905"/>
                <wp:wrapNone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электронного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284.pt;margin-top:19.75pt;width:135.59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электронного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88900" distB="194945" distL="0" distR="0" simplePos="0" relativeHeight="125829390" behindDoc="0" locked="0" layoutInCell="1" allowOverlap="1">
                <wp:simplePos x="0" y="0"/>
                <wp:positionH relativeFrom="page">
                  <wp:posOffset>6075045</wp:posOffset>
                </wp:positionH>
                <wp:positionV relativeFrom="paragraph">
                  <wp:posOffset>88900</wp:posOffset>
                </wp:positionV>
                <wp:extent cx="1143000" cy="250190"/>
                <wp:wrapTopAndBottom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4300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bookmarkStart w:id="8" w:name="bookmark8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А.А. Клевцова</w:t>
                            </w:r>
                            <w:bookmarkEnd w:id="8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478.35000000000002pt;margin-top:7.pt;width:90.pt;height:19.699999999999999pt;z-index:-125829363;mso-wrap-distance-left:0;mso-wrap-distance-top:7.pt;mso-wrap-distance-right:0;mso-wrap-distance-bottom:15.35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bookmarkStart w:id="8" w:name="bookmark8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А.А. Клевцова</w:t>
                      </w:r>
                      <w:bookmarkEnd w:id="8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6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686868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Клевцова Анжелика Александровна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00ОЕЕВ9861СС2С343552ОАСА885Е93799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4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r>
        <w:rPr>
          <w:color w:val="68686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86868"/>
          <w:spacing w:val="0"/>
          <w:w w:val="100"/>
          <w:position w:val="0"/>
          <w:shd w:val="clear" w:color="auto" w:fill="auto"/>
          <w:lang w:val="ru-RU" w:eastAsia="ru-RU" w:bidi="ru-RU"/>
        </w:rPr>
        <w:t>06.06.2024 по 30.08.2025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370" w:line="240" w:lineRule="auto"/>
        <w:ind w:left="0" w:right="0" w:firstLine="0"/>
        <w:jc w:val="right"/>
      </w:pPr>
      <w:r>
        <w:drawing>
          <wp:anchor distT="0" distB="0" distL="114300" distR="1927860" simplePos="0" relativeHeight="125829392" behindDoc="0" locked="0" layoutInCell="1" allowOverlap="1">
            <wp:simplePos x="0" y="0"/>
            <wp:positionH relativeFrom="page">
              <wp:posOffset>3219450</wp:posOffset>
            </wp:positionH>
            <wp:positionV relativeFrom="paragraph">
              <wp:posOffset>88900</wp:posOffset>
            </wp:positionV>
            <wp:extent cx="298450" cy="347345"/>
            <wp:wrapSquare wrapText="right"/>
            <wp:docPr id="28" name="Shape 2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box 29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3606800</wp:posOffset>
                </wp:positionH>
                <wp:positionV relativeFrom="paragraph">
                  <wp:posOffset>156210</wp:posOffset>
                </wp:positionV>
                <wp:extent cx="1722120" cy="255905"/>
                <wp:wrapNone/>
                <wp:docPr id="30" name="Shape 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6" type="#_x0000_t202" style="position:absolute;margin-left:284.pt;margin-top:12.300000000000001pt;width:135.59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10" w:name="bookmark1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М.К. Войнова</w:t>
      </w:r>
      <w:bookmarkEnd w:id="10"/>
    </w:p>
    <w:p>
      <w:pPr>
        <w:pStyle w:val="Style26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686868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Войнова Мария Константиновна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20ЭА7С6Е61АСВЕ916СЕ69838В5ЮЕА91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5480" w:line="240" w:lineRule="auto"/>
        <w:ind w:right="0" w:firstLine="0"/>
        <w:jc w:val="left"/>
      </w:pPr>
      <w:r>
        <w:rPr>
          <w:color w:val="68686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26.03.2024 </w:t>
      </w:r>
      <w:r>
        <w:rPr>
          <w:color w:val="8E8E8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86868"/>
          <w:spacing w:val="0"/>
          <w:w w:val="100"/>
          <w:position w:val="0"/>
          <w:shd w:val="clear" w:color="auto" w:fill="auto"/>
          <w:lang w:val="ru-RU" w:eastAsia="ru-RU" w:bidi="ru-RU"/>
        </w:rPr>
        <w:t>19.06.2025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Исп.Войнова М.К.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тел.431-73-87, вн.052-707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983" w:right="527" w:bottom="1925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782320</wp:posOffset>
              </wp:positionH>
              <wp:positionV relativeFrom="page">
                <wp:posOffset>9909175</wp:posOffset>
              </wp:positionV>
              <wp:extent cx="725170" cy="10033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2024-20657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61.600000000000001pt;margin-top:780.25pt;width:57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2024-20657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888365</wp:posOffset>
              </wp:positionH>
              <wp:positionV relativeFrom="page">
                <wp:posOffset>10037445</wp:posOffset>
              </wp:positionV>
              <wp:extent cx="728345" cy="10033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834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2024-20657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69.950000000000003pt;margin-top:790.35000000000002pt;width:57.350000000000001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2024-20657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3924935</wp:posOffset>
              </wp:positionH>
              <wp:positionV relativeFrom="page">
                <wp:posOffset>460375</wp:posOffset>
              </wp:positionV>
              <wp:extent cx="67310" cy="10350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9.05000000000001pt;margin-top:36.25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5F9F"/>
      <w:sz w:val="19"/>
      <w:szCs w:val="19"/>
      <w:u w:val="none"/>
    </w:rPr>
  </w:style>
  <w:style w:type="character" w:customStyle="1" w:styleId="CharStyle10">
    <w:name w:val="Заголовок №1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3">
    <w:name w:val="Основной текст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7">
    <w:name w:val="Заголовок №2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9">
    <w:name w:val="Подпись к картинке_"/>
    <w:basedOn w:val="DefaultParagraphFont"/>
    <w:link w:val="Style18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22222"/>
      <w:sz w:val="11"/>
      <w:szCs w:val="11"/>
      <w:u w:val="none"/>
    </w:rPr>
  </w:style>
  <w:style w:type="character" w:customStyle="1" w:styleId="CharStyle23">
    <w:name w:val="Подпись к таблице_"/>
    <w:basedOn w:val="DefaultParagraphFont"/>
    <w:link w:val="Style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5">
    <w:name w:val="Другое_"/>
    <w:basedOn w:val="DefaultParagraphFont"/>
    <w:link w:val="Style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7">
    <w:name w:val="Основной текст (4)_"/>
    <w:basedOn w:val="DefaultParagraphFont"/>
    <w:link w:val="Style26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6E6E6"/>
      <w:sz w:val="12"/>
      <w:szCs w:val="12"/>
      <w:u w:val="none"/>
    </w:rPr>
  </w:style>
  <w:style w:type="character" w:customStyle="1" w:styleId="CharStyle29">
    <w:name w:val="Основной текст (2)_"/>
    <w:basedOn w:val="DefaultParagraphFont"/>
    <w:link w:val="Style28"/>
    <w:rPr>
      <w:rFonts w:ascii="Arial" w:eastAsia="Arial" w:hAnsi="Arial" w:cs="Arial"/>
      <w:b w:val="0"/>
      <w:bCs w:val="0"/>
      <w:i w:val="0"/>
      <w:iCs w:val="0"/>
      <w:smallCaps w:val="0"/>
      <w:strike w:val="0"/>
      <w:color w:val="3D3D3D"/>
      <w:sz w:val="12"/>
      <w:szCs w:val="1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5F9F"/>
      <w:sz w:val="19"/>
      <w:szCs w:val="19"/>
      <w:u w:val="none"/>
    </w:rPr>
  </w:style>
  <w:style w:type="paragraph" w:customStyle="1" w:styleId="Style9">
    <w:name w:val="Заголовок №1"/>
    <w:basedOn w:val="Normal"/>
    <w:link w:val="CharStyle10"/>
    <w:pPr>
      <w:widowControl w:val="0"/>
      <w:shd w:val="clear" w:color="auto" w:fill="auto"/>
      <w:spacing w:after="320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2">
    <w:name w:val="Основной текст"/>
    <w:basedOn w:val="Normal"/>
    <w:link w:val="CharStyle13"/>
    <w:pPr>
      <w:widowControl w:val="0"/>
      <w:shd w:val="clear" w:color="auto" w:fill="auto"/>
      <w:spacing w:line="27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6">
    <w:name w:val="Заголовок №2"/>
    <w:basedOn w:val="Normal"/>
    <w:link w:val="CharStyle17"/>
    <w:pPr>
      <w:widowControl w:val="0"/>
      <w:shd w:val="clear" w:color="auto" w:fill="auto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8">
    <w:name w:val="Подпись к картинке"/>
    <w:basedOn w:val="Normal"/>
    <w:link w:val="CharStyle19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22222"/>
      <w:sz w:val="11"/>
      <w:szCs w:val="11"/>
      <w:u w:val="none"/>
    </w:rPr>
  </w:style>
  <w:style w:type="paragraph" w:customStyle="1" w:styleId="Style22">
    <w:name w:val="Подпись к таблице"/>
    <w:basedOn w:val="Normal"/>
    <w:link w:val="CharStyle2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4">
    <w:name w:val="Другое"/>
    <w:basedOn w:val="Normal"/>
    <w:link w:val="CharStyle25"/>
    <w:pPr>
      <w:widowControl w:val="0"/>
      <w:shd w:val="clear" w:color="auto" w:fill="auto"/>
      <w:spacing w:line="27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6">
    <w:name w:val="Основной текст (4)"/>
    <w:basedOn w:val="Normal"/>
    <w:link w:val="CharStyle27"/>
    <w:pPr>
      <w:widowControl w:val="0"/>
      <w:shd w:val="clear" w:color="auto" w:fill="auto"/>
      <w:spacing w:after="100"/>
      <w:ind w:left="466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6E6E6"/>
      <w:sz w:val="12"/>
      <w:szCs w:val="12"/>
      <w:u w:val="none"/>
    </w:rPr>
  </w:style>
  <w:style w:type="paragraph" w:customStyle="1" w:styleId="Style28">
    <w:name w:val="Основной текст (2)"/>
    <w:basedOn w:val="Normal"/>
    <w:link w:val="CharStyle29"/>
    <w:pPr>
      <w:widowControl w:val="0"/>
      <w:shd w:val="clear" w:color="auto" w:fill="auto"/>
      <w:ind w:left="394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3D3D3D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/Relationships>
</file>