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0385" distL="967740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9930" distB="0" distL="11430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722630</wp:posOffset>
                </wp:positionV>
                <wp:extent cx="2249170" cy="17132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13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561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1о61@Га5.§оу.П1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2" w:val="left"/>
                              </w:tabs>
                              <w:bidi w:val="0"/>
                              <w:spacing w:before="0"/>
                              <w:ind w:left="0" w:right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561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6.899999999999999pt;width:177.09999999999999pt;height:134.90000000000001pt;z-index:-125829374;mso-wrap-distance-left:9.pt;mso-wrap-distance-top:55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561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1о61@Га5.§оу.П1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2" w:val="left"/>
                        </w:tabs>
                        <w:bidi w:val="0"/>
                        <w:spacing w:before="0"/>
                        <w:ind w:left="0" w:right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561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Электронная торговая площадка «Фабрикант»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344013, г.Ростов-на-Дону, ул. 20-я линия, д. 43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аи&amp;1ог8@е!р/.ги; аи&amp;1ог8@1аЪпкап1.ги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"ТД Пищтех"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3500010 г. Краснодар, ул. Ростовское шоссе, 76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М.р1ек@уап4ех.ги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образования г. Азова 346780, г. Азов, ул. Кондаурова, 53/47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11оа/оу@го81оЬг.ги; е.8. коуа1епко@та1к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дела</w:t>
        <w:br/>
        <w:t>№061/06/42-3441/2024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1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24.09.2024</w:t>
        <w:tab/>
        <w:t>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С.В, Батурин,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Вертий,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7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 Д. Кириленко рассмотрев дело № 061/06/42-3441/2024 по жалобе ООО «ТД Пищтех» (далее —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Заявитель) о нарушении Управлением образования администрации города Азова (далее - Заказчик) при проведении электронного аукциона №0358300279624000164 «Поставка пищевого оборудования для оснащения объекта: «МБОУ СОШ на 1340 мест по адресу: Ростовская область, г. Азов, ул. Московская, 304»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представителей Заказчика — Мирошниченко Е.Д. (распоряжение от 02.10.2017), Заявителя — Садовского В.В. (доверенность от 10.01.2024),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Управление образования администрации города Азова. Заказчик в возражениях на жалобу представил пояснения.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ч.ч.1,3 ст.99 Закона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/акирк1 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29.08.2024 размещено извещение о проведении закупки, согласно которому: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-установлены дата и время окончания подачи заявок - 19.09.2024 11:59 (МСК);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-начальная (максимальная) цена контракта (НМЦК) составила 13 094 998,80 рублей. Закупка осуществлена в рамках реализации национального проекта «Образование».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ст.105 Закона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ст.36 Закона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ч.2 ст.36 Закона при проведении электронных процедур, закрытых электронных процедур: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заказчик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 позднее чем за один рабочий день до даты окончания срока подачи заявок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18.09.2024 Заказчик принял решение об отмене определения поставщика, о чем разместил в Единой информационной системе соответствующее извещение.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данное решение принято Заказчиком с нарушением регламентированного Законом срока. Таким образом, Заказчик нарушил ч.2 ст.36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поскольку Заказчик отменил определение поставщика по указанному аукциону Заявитель не может являться участником данной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в силу ч.1 ст.105 Закона, действия (бездействие) Заказчика при проведении закупки № 0358300279624000164 не нарушают и не могут нарушить права и законные интересы Заявителя. Соответственно, указанные действия (бездействие) заказчика не подлежат обжалованию данным обществом в контрольный орган в сфере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Ростовского УФАС России не выдает предписание об устранении указанного нарушения Закона, так как выявленное нарушение законодательства Российской Федерации о контрактной системе не повлияло и не могло повлиять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 Комиссия Ростовского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ООО «ТД Пищтех» прекратить.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ч.2 ст.36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нарушений не выдавать, поскольку действия Заказчика не повлияли и не могли повлиять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9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tbl>
      <w:tblPr>
        <w:tblOverlap w:val="never"/>
        <w:jc w:val="center"/>
        <w:tblLayout w:type="fixed"/>
      </w:tblPr>
      <w:tblGrid>
        <w:gridCol w:w="3000"/>
        <w:gridCol w:w="4008"/>
        <w:gridCol w:w="3158"/>
      </w:tblGrid>
      <w:tr>
        <w:trPr>
          <w:trHeight w:val="136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3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989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подписи;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89898A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Батурин С- 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22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С.В. Батурин</w:t>
            </w:r>
          </w:p>
        </w:tc>
      </w:tr>
      <w:tr>
        <w:trPr>
          <w:trHeight w:val="160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3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989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подписи: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989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ВвртиЙ А.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А.А. Вертий</w:t>
            </w:r>
          </w:p>
        </w:tc>
      </w:tr>
      <w:tr>
        <w:trPr>
          <w:trHeight w:val="1373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3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9898A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подписи: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Fonts w:ascii="Arial" w:eastAsia="Arial" w:hAnsi="Arial" w:cs="Arial"/>
                <w:b/>
                <w:bCs/>
                <w:color w:val="89898A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Кириленко В. Д.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В.Д. Кириленко</w:t>
            </w:r>
          </w:p>
        </w:tc>
      </w:tr>
    </w:tbl>
    <w:p>
      <w:pPr>
        <w:widowControl w:val="0"/>
        <w:spacing w:after="5339"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Исп.Кириленко В.Д.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вн.061-131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988" w:right="529" w:bottom="1233" w:left="109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9977120</wp:posOffset>
              </wp:positionV>
              <wp:extent cx="647065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2024-19383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5.60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2024-19383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9973945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5.35000000000002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20" w:line="25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