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280" w:line="240" w:lineRule="auto"/>
        <w:ind w:left="0" w:right="360" w:firstLine="0"/>
        <w:jc w:val="right"/>
      </w:pPr>
      <w:r>
        <mc:AlternateContent>
          <mc:Choice Requires="wps">
            <w:drawing>
              <wp:anchor distT="0" distB="2343785" distL="403860" distR="373380" simplePos="0" relativeHeight="125829378" behindDoc="0" locked="0" layoutInCell="1" allowOverlap="1">
                <wp:simplePos x="0" y="0"/>
                <wp:positionH relativeFrom="page">
                  <wp:posOffset>1016635</wp:posOffset>
                </wp:positionH>
                <wp:positionV relativeFrom="paragraph">
                  <wp:posOffset>50800</wp:posOffset>
                </wp:positionV>
                <wp:extent cx="2045335" cy="301625"/>
                <wp:wrapSquare wrapText="right"/>
                <wp:docPr id="9" name="Shape 9"/>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5" type="#_x0000_t202" style="position:absolute;margin-left:80.049999999999997pt;margin-top:4.pt;width:161.05000000000001pt;height:23.75pt;z-index:-125829375;mso-wrap-distance-left:31.800000000000001pt;mso-wrap-distance-right:29.400000000000002pt;mso-wrap-distance-bottom:184.55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423545" distB="813435" distL="193675" distR="193675" simplePos="0" relativeHeight="125829380" behindDoc="0" locked="0" layoutInCell="1" allowOverlap="1">
                <wp:simplePos x="0" y="0"/>
                <wp:positionH relativeFrom="page">
                  <wp:posOffset>806450</wp:posOffset>
                </wp:positionH>
                <wp:positionV relativeFrom="paragraph">
                  <wp:posOffset>474345</wp:posOffset>
                </wp:positionV>
                <wp:extent cx="2435225" cy="1408430"/>
                <wp:wrapSquare wrapText="right"/>
                <wp:docPr id="11" name="Shape 11"/>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40213/24</w:t>
                            </w:r>
                          </w:p>
                        </w:txbxContent>
                      </wps:txbx>
                      <wps:bodyPr lIns="0" tIns="0" rIns="0" bIns="0">
                        <a:noAutoFit/>
                      </wps:bodyPr>
                    </wps:wsp>
                  </a:graphicData>
                </a:graphic>
              </wp:anchor>
            </w:drawing>
          </mc:Choice>
          <mc:Fallback>
            <w:pict>
              <v:shape id="_x0000_s1037" type="#_x0000_t202" style="position:absolute;margin-left:63.5pt;margin-top:37.350000000000001pt;width:191.75pt;height:110.90000000000001pt;z-index:-125829373;mso-wrap-distance-left:15.25pt;mso-wrap-distance-top:33.350000000000001pt;mso-wrap-distance-right:15.25pt;mso-wrap-distance-bottom:64.049999999999997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40213/24</w:t>
                      </w:r>
                    </w:p>
                  </w:txbxContent>
                </v:textbox>
                <w10:wrap type="square" side="right" anchorx="page"/>
              </v:shape>
            </w:pict>
          </mc:Fallback>
        </mc:AlternateContent>
      </w:r>
      <w:r>
        <w:drawing>
          <wp:anchor distT="1947545" distB="0" distL="114300" distR="114300" simplePos="0" relativeHeight="125829382" behindDoc="0" locked="0" layoutInCell="1" allowOverlap="1">
            <wp:simplePos x="0" y="0"/>
            <wp:positionH relativeFrom="page">
              <wp:posOffset>727075</wp:posOffset>
            </wp:positionH>
            <wp:positionV relativeFrom="paragraph">
              <wp:posOffset>1998345</wp:posOffset>
            </wp:positionV>
            <wp:extent cx="2597150" cy="70104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701040"/>
                    </a:xfrm>
                    <a:prstGeom prst="rect"/>
                  </pic:spPr>
                </pic:pic>
              </a:graphicData>
            </a:graphic>
          </wp:anchor>
        </w:drawing>
      </w:r>
      <w:r>
        <w:rPr>
          <w:color w:val="000000"/>
          <w:spacing w:val="0"/>
          <w:w w:val="100"/>
          <w:position w:val="0"/>
          <w:shd w:val="clear" w:color="auto" w:fill="auto"/>
          <w:lang w:val="ru-RU" w:eastAsia="ru-RU" w:bidi="ru-RU"/>
        </w:rPr>
        <w:t>ГБУ «Автомобильные дороги СВАО»</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аV^о4о^.8Vао@уап4еx.^и</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ГКУ «Дирекция ЖКХиБ СВАО»</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xакирк^8Vао@та^1.^и</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ООО «ПФК Контур»</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9629497672@тш1.ги</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840" w:line="240" w:lineRule="auto"/>
        <w:ind w:left="5320" w:right="0" w:firstLine="0"/>
        <w:jc w:val="both"/>
      </w:pPr>
      <w:r>
        <w:rPr>
          <w:color w:val="000000"/>
          <w:spacing w:val="0"/>
          <w:w w:val="100"/>
          <w:position w:val="0"/>
          <w:shd w:val="clear" w:color="auto" w:fill="auto"/>
          <w:lang w:val="ru-RU" w:eastAsia="ru-RU" w:bidi="ru-RU"/>
        </w:rPr>
        <w:t>ко@го81е81огд.ги</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077/06/106-12873/2024 о нарушении</w:t>
        <w:br/>
        <w:t>законодательства о контрактной системе</w:t>
        <w:br/>
        <w:t>25.09.2024</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М.О. Мацневой,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«ПФК Контур»: А.А. Маковецкого (дов. № б/н от 09.09.2024),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 «Автомобильные дороги СВАО»: Т.В. Платуновой (дов. № 99 от 09.09.2024)</w:t>
      </w:r>
    </w:p>
    <w:p>
      <w:pPr>
        <w:pStyle w:val="Style9"/>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рассмотрев жалобу ООО «ПФК Контур» (далее — Заявитель) на действия ГБУ «Автомобильные дороги СВАО» (далее — Заказчик) при проведении электронного аукциона на право заключения государственного контракта на поставку запасных частей, узлов, агрегатов и расходных материалов для нужд ГБУ «Автомобильные дороги СВАО» (Закупка № 0373200017524000438) (далее -</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320" w:line="216"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numPr>
          <w:ilvl w:val="0"/>
          <w:numId w:val="1"/>
        </w:numPr>
        <w:shd w:val="clear" w:color="auto" w:fill="auto"/>
        <w:tabs>
          <w:tab w:pos="1090"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на неправомерные действия Заказчика, выразившиеся в неисполнении в полном объёме ранее выданного предписания в результате рассмотрения жалобы ООО «ПФК Контур» по делу № 077/06/106-12169/2024 от 13.09.2024.</w:t>
      </w:r>
    </w:p>
    <w:p>
      <w:pPr>
        <w:pStyle w:val="Style9"/>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Согласно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9"/>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13.09.2024 Московским УФАС России рассмотрена жалоба ООО «ПФК Контур» на действия Заказчика при проведении вышеуказанного электронного аукциона, по результатам рассмотрения которой в действиях Заказчика выявлено нарушение п.1 ч.1 ст.33 Закона о контрактной системе.</w:t>
      </w:r>
    </w:p>
    <w:p>
      <w:pPr>
        <w:pStyle w:val="Style9"/>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Одновременно с этим Заказчику выдано обязательное для исполнения предписание по делу № 077/06/106-12169/2024 от 13.09.2024, согласно которому Заказчику необходимо привести извещение об осуществлении закупки в соответствие с требованиями Закона о контрактной системе и с учетом решений от 13.09.2024 по делу № 077/06/106-12169/2024, разместить соответствующее извещение об осуществлении закупки в единой информационной системе и представить в Московское УФАС России подтверждение исполнения настоящего предписания в срок до 14.10.2024.</w:t>
      </w:r>
    </w:p>
    <w:p>
      <w:pPr>
        <w:pStyle w:val="Style9"/>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сведениям из Единой информационной системы в сфере закупок Заказчиком опубликованы изменения извещения о проведении электронного аукциона от 16.09.2024 №ИИ4, 19.09.2024 №ИИ5 в соответствии с требованиями Закона о контрактной системе и с учетом решения от 13.09.2024 по делу № 077/06/106-12169/2024.</w:t>
      </w:r>
    </w:p>
    <w:p>
      <w:pPr>
        <w:pStyle w:val="Style9"/>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Комиссия Управления также отмечает следующее.</w:t>
      </w:r>
    </w:p>
    <w:p>
      <w:pPr>
        <w:pStyle w:val="Style9"/>
        <w:keepNext w:val="0"/>
        <w:keepLines w:val="0"/>
        <w:widowControl w:val="0"/>
        <w:shd w:val="clear" w:color="auto" w:fill="auto"/>
        <w:bidi w:val="0"/>
        <w:spacing w:before="0" w:after="0" w:line="216" w:lineRule="auto"/>
        <w:ind w:left="0" w:right="0" w:firstLine="700"/>
        <w:jc w:val="both"/>
      </w:pPr>
      <w:r>
        <w:rPr>
          <w:color w:val="000000"/>
          <w:spacing w:val="0"/>
          <w:w w:val="100"/>
          <w:position w:val="0"/>
          <w:shd w:val="clear" w:color="auto" w:fill="auto"/>
          <w:lang w:val="ru-RU" w:eastAsia="ru-RU" w:bidi="ru-RU"/>
        </w:rPr>
        <w:t xml:space="preserve">В соответствии с ч.4 ст.42 Закона о контрактной системе Заказчик по </w:t>
      </w:r>
      <w:r>
        <w:rPr>
          <w:color w:val="000000"/>
          <w:spacing w:val="0"/>
          <w:w w:val="100"/>
          <w:position w:val="0"/>
          <w:shd w:val="clear" w:color="auto" w:fill="auto"/>
          <w:lang w:val="ru-RU" w:eastAsia="ru-RU" w:bidi="ru-RU"/>
        </w:rPr>
        <w:t>собственной инициативе или в соответствии с запросом, предусмотренным ч.5 ст.42,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pPr>
        <w:pStyle w:val="Style9"/>
        <w:keepNext w:val="0"/>
        <w:keepLines w:val="0"/>
        <w:widowControl w:val="0"/>
        <w:numPr>
          <w:ilvl w:val="0"/>
          <w:numId w:val="3"/>
        </w:numPr>
        <w:shd w:val="clear" w:color="auto" w:fill="auto"/>
        <w:tabs>
          <w:tab w:pos="1057"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при проведении электронных конкурсов - не менее десяти дней;</w:t>
      </w:r>
    </w:p>
    <w:p>
      <w:pPr>
        <w:pStyle w:val="Style9"/>
        <w:keepNext w:val="0"/>
        <w:keepLines w:val="0"/>
        <w:widowControl w:val="0"/>
        <w:numPr>
          <w:ilvl w:val="0"/>
          <w:numId w:val="3"/>
        </w:numPr>
        <w:shd w:val="clear" w:color="auto" w:fill="auto"/>
        <w:tabs>
          <w:tab w:pos="1081"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при проведении электронных аукционов - не менее семи дней;</w:t>
      </w:r>
    </w:p>
    <w:p>
      <w:pPr>
        <w:pStyle w:val="Style9"/>
        <w:keepNext w:val="0"/>
        <w:keepLines w:val="0"/>
        <w:widowControl w:val="0"/>
        <w:numPr>
          <w:ilvl w:val="0"/>
          <w:numId w:val="3"/>
        </w:numPr>
        <w:shd w:val="clear" w:color="auto" w:fill="auto"/>
        <w:tabs>
          <w:tab w:pos="1071"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pPr>
        <w:pStyle w:val="Style9"/>
        <w:keepNext w:val="0"/>
        <w:keepLines w:val="0"/>
        <w:widowControl w:val="0"/>
        <w:numPr>
          <w:ilvl w:val="0"/>
          <w:numId w:val="3"/>
        </w:numPr>
        <w:shd w:val="clear" w:color="auto" w:fill="auto"/>
        <w:tabs>
          <w:tab w:pos="1081"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при проведении электронных запросов котировок - не менее трех дней.</w:t>
      </w:r>
    </w:p>
    <w:p>
      <w:pPr>
        <w:pStyle w:val="Style9"/>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Комиссия Управления отмечает, что согласно выданному предписанию Заказчику необходимо в срок до 14.10.2024 представить в Московское УФАС России подтверждение исполнения настоящего предписания, при этом на момент подачи жалобы Заказчиком отчет об исполнении предписания направлен не был.</w:t>
      </w:r>
    </w:p>
    <w:p>
      <w:pPr>
        <w:pStyle w:val="Style9"/>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Таким образом, учитывая тот факт, что на момент рассмотрения жалобы заявки комиссией Заказчика не рассмотрены, следовательно в соответствии с ч.4 ст.42 Закона о контрактной системе Заказчик вправе внести изменения в извещение об осуществлении закупки, ввиду чего Комиссия Управления приходит к выводу о том, что на момент рассмотрения жалобы предписание по делу № 077/06/106-12169/2024 от 13.09.2024 находится на этапе исполнения, следовательно вышеуказанные доводы жалобы Заявителя не находят своего подтверждения и являются необоснованными.</w:t>
      </w:r>
    </w:p>
    <w:p>
      <w:pPr>
        <w:pStyle w:val="Style9"/>
        <w:keepNext w:val="0"/>
        <w:keepLines w:val="0"/>
        <w:widowControl w:val="0"/>
        <w:numPr>
          <w:ilvl w:val="0"/>
          <w:numId w:val="1"/>
        </w:numPr>
        <w:shd w:val="clear" w:color="auto" w:fill="auto"/>
        <w:tabs>
          <w:tab w:pos="1035"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Вместе с тем согласно доводам жалобы описание объекта закупки в соответствии с изменениями извещения о проведении электронного аукциона от 19.09.2024 №ИИ5 по-прежнему содержит неправомерные требования к товарам (позиции указанные в жалобе скорректированы в последних изменениях, однако суть нарушений, неточностей и противоречий находит своё отражение в иных позициях описания объекта закупки).</w:t>
      </w:r>
    </w:p>
    <w:p>
      <w:pPr>
        <w:pStyle w:val="Style9"/>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Согласно п.1,2 ч.1 ст.33 Закона о контрактной системе установлено, что Заказчик при описании объекта закупки должен руководствоваться следующими правилами:</w:t>
      </w:r>
    </w:p>
    <w:p>
      <w:pPr>
        <w:pStyle w:val="Style9"/>
        <w:keepNext w:val="0"/>
        <w:keepLines w:val="0"/>
        <w:widowControl w:val="0"/>
        <w:numPr>
          <w:ilvl w:val="0"/>
          <w:numId w:val="5"/>
        </w:numPr>
        <w:shd w:val="clear" w:color="auto" w:fill="auto"/>
        <w:tabs>
          <w:tab w:pos="1035" w:val="left"/>
        </w:tabs>
        <w:bidi w:val="0"/>
        <w:spacing w:before="0" w:after="0" w:line="257" w:lineRule="auto"/>
        <w:ind w:left="0" w:right="0" w:firstLine="720"/>
        <w:jc w:val="both"/>
        <w:sectPr>
          <w:footnotePr>
            <w:pos w:val="pageBottom"/>
            <w:numFmt w:val="decimal"/>
            <w:numRestart w:val="continuous"/>
          </w:footnotePr>
          <w:type w:val="continuous"/>
          <w:pgSz w:w="11900" w:h="16840"/>
          <w:pgMar w:top="1162" w:right="539" w:bottom="821" w:left="1104" w:header="0" w:footer="3" w:gutter="0"/>
          <w:cols w:space="720"/>
          <w:noEndnote/>
          <w:rtlGutter w:val="0"/>
          <w:docGrid w:linePitch="360"/>
        </w:sectPr>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w:t>
      </w:r>
    </w:p>
    <w:p>
      <w:pPr>
        <w:pStyle w:val="Style9"/>
        <w:keepNext w:val="0"/>
        <w:keepLines w:val="0"/>
        <w:widowControl w:val="0"/>
        <w:shd w:val="clear" w:color="auto" w:fill="auto"/>
        <w:bidi w:val="0"/>
        <w:spacing w:before="0" w:after="0" w:line="257" w:lineRule="auto"/>
        <w:ind w:left="0" w:right="0" w:firstLine="0"/>
        <w:jc w:val="both"/>
      </w:pPr>
      <w:r>
        <w:rPr>
          <w:color w:val="000000"/>
          <w:spacing w:val="0"/>
          <w:w w:val="100"/>
          <w:position w:val="0"/>
          <w:shd w:val="clear" w:color="auto" w:fill="auto"/>
          <w:lang w:val="ru-RU" w:eastAsia="ru-RU" w:bidi="ru-RU"/>
        </w:rPr>
        <w:t>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7"/>
        </w:numPr>
        <w:shd w:val="clear" w:color="auto" w:fill="auto"/>
        <w:tabs>
          <w:tab w:pos="1037" w:val="left"/>
        </w:tabs>
        <w:bidi w:val="0"/>
        <w:spacing w:before="0" w:after="0" w:line="257"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9"/>
        <w:keepNext w:val="0"/>
        <w:keepLines w:val="0"/>
        <w:widowControl w:val="0"/>
        <w:numPr>
          <w:ilvl w:val="0"/>
          <w:numId w:val="7"/>
        </w:numPr>
        <w:shd w:val="clear" w:color="auto" w:fill="auto"/>
        <w:tabs>
          <w:tab w:pos="1038"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7"/>
        </w:numPr>
        <w:shd w:val="clear" w:color="auto" w:fill="auto"/>
        <w:tabs>
          <w:tab w:pos="1028"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7"/>
        </w:numPr>
        <w:shd w:val="clear" w:color="auto" w:fill="auto"/>
        <w:tabs>
          <w:tab w:pos="1195"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numPr>
          <w:ilvl w:val="0"/>
          <w:numId w:val="5"/>
        </w:numPr>
        <w:shd w:val="clear" w:color="auto" w:fill="auto"/>
        <w:tabs>
          <w:tab w:pos="1042"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76"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В силу ч.1 ст.106 Закона о контрактной системе лица, права и законные интересы которых непосредственно затрагиваются в результате рассмотрения </w:t>
      </w:r>
      <w:r>
        <w:rPr>
          <w:rFonts w:ascii="Cambria" w:eastAsia="Cambria" w:hAnsi="Cambria" w:cs="Cambria"/>
          <w:color w:val="000000"/>
          <w:spacing w:val="0"/>
          <w:w w:val="100"/>
          <w:position w:val="0"/>
          <w:sz w:val="22"/>
          <w:szCs w:val="22"/>
          <w:shd w:val="clear" w:color="auto" w:fill="auto"/>
          <w:lang w:val="ru-RU" w:eastAsia="ru-RU" w:bidi="ru-RU"/>
        </w:rPr>
        <w:t>2024-45166</w:t>
      </w:r>
    </w:p>
    <w:p>
      <w:pPr>
        <w:pStyle w:val="Style9"/>
        <w:keepNext w:val="0"/>
        <w:keepLines w:val="0"/>
        <w:widowControl w:val="0"/>
        <w:shd w:val="clear" w:color="auto" w:fill="auto"/>
        <w:bidi w:val="0"/>
        <w:spacing w:before="0" w:after="0" w:line="214" w:lineRule="auto"/>
        <w:ind w:left="0" w:right="0" w:firstLine="0"/>
        <w:jc w:val="both"/>
      </w:pPr>
      <w:r>
        <w:rPr>
          <w:color w:val="000000"/>
          <w:spacing w:val="0"/>
          <w:w w:val="100"/>
          <w:position w:val="0"/>
          <w:shd w:val="clear" w:color="auto" w:fill="auto"/>
          <w:lang w:val="ru-RU" w:eastAsia="ru-RU" w:bidi="ru-RU"/>
        </w:rPr>
        <w:t>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16"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Заказчиком скорректированы положения Технического задания после подачи жалобы Заявителя путем внесения изменений в извещение от 20.09.2024 №ИИ6, от 23.09.2024 №ИИ7.</w:t>
      </w:r>
    </w:p>
    <w:p>
      <w:pPr>
        <w:pStyle w:val="Style9"/>
        <w:keepNext w:val="0"/>
        <w:keepLines w:val="0"/>
        <w:widowControl w:val="0"/>
        <w:shd w:val="clear" w:color="auto" w:fill="auto"/>
        <w:bidi w:val="0"/>
        <w:spacing w:before="0" w:after="0" w:line="216" w:lineRule="auto"/>
        <w:ind w:left="0" w:right="0" w:firstLine="700"/>
        <w:jc w:val="both"/>
      </w:pPr>
      <w:r>
        <w:rPr>
          <w:color w:val="000000"/>
          <w:spacing w:val="0"/>
          <w:w w:val="100"/>
          <w:position w:val="0"/>
          <w:shd w:val="clear" w:color="auto" w:fill="auto"/>
          <w:lang w:val="ru-RU" w:eastAsia="ru-RU" w:bidi="ru-RU"/>
        </w:rPr>
        <w:t>Вместе с тем на заседании Комиссия Управления представитель Заявителя пояснил, что в опубликованных изменениях от 23.09.2024 №ИИ7 по-прежнему содержатся нарушения, указанные в жалобе, но по отличным позициям, а именно:</w:t>
      </w:r>
    </w:p>
    <w:p>
      <w:pPr>
        <w:pStyle w:val="Style9"/>
        <w:keepNext w:val="0"/>
        <w:keepLines w:val="0"/>
        <w:widowControl w:val="0"/>
        <w:shd w:val="clear" w:color="auto" w:fill="auto"/>
        <w:bidi w:val="0"/>
        <w:spacing w:before="0" w:after="0" w:line="218" w:lineRule="auto"/>
        <w:ind w:left="0" w:right="0" w:firstLine="700"/>
        <w:jc w:val="both"/>
      </w:pPr>
      <w:r>
        <w:rPr>
          <w:color w:val="000000"/>
          <w:spacing w:val="0"/>
          <w:w w:val="100"/>
          <w:position w:val="0"/>
          <w:shd w:val="clear" w:color="auto" w:fill="auto"/>
          <w:lang w:val="ru-RU" w:eastAsia="ru-RU" w:bidi="ru-RU"/>
        </w:rPr>
        <w:t>Приложение №2 к Техническому заданию содержит требование на поставку товаров, например:</w:t>
      </w:r>
    </w:p>
    <w:p>
      <w:pPr>
        <w:pStyle w:val="Style9"/>
        <w:keepNext w:val="0"/>
        <w:keepLines w:val="0"/>
        <w:widowControl w:val="0"/>
        <w:shd w:val="clear" w:color="auto" w:fill="auto"/>
        <w:bidi w:val="0"/>
        <w:spacing w:before="0" w:after="0" w:line="214" w:lineRule="auto"/>
        <w:ind w:left="0" w:right="0" w:firstLine="840"/>
        <w:jc w:val="both"/>
      </w:pPr>
      <w:r>
        <w:rPr>
          <w:color w:val="000000"/>
          <w:spacing w:val="0"/>
          <w:w w:val="100"/>
          <w:position w:val="0"/>
          <w:shd w:val="clear" w:color="auto" w:fill="auto"/>
          <w:lang w:val="ru-RU" w:eastAsia="ru-RU" w:bidi="ru-RU"/>
        </w:rPr>
        <w:t>п.14349 «ГИДРАВЛИЧЕСКИЙ БАК 100Л, МОНТАЖ ЗА КАБИНУ (НОВЫЙ КОД V10К07060200I)»,</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п.11365 «Глубокая подвеска сбор без подъема задней части»,</w:t>
      </w:r>
    </w:p>
    <w:p>
      <w:pPr>
        <w:pStyle w:val="Style9"/>
        <w:keepNext w:val="0"/>
        <w:keepLines w:val="0"/>
        <w:widowControl w:val="0"/>
        <w:shd w:val="clear" w:color="auto" w:fill="auto"/>
        <w:bidi w:val="0"/>
        <w:spacing w:before="0" w:after="0" w:line="216" w:lineRule="auto"/>
        <w:ind w:left="0" w:right="0" w:firstLine="700"/>
        <w:jc w:val="both"/>
      </w:pPr>
      <w:r>
        <w:rPr>
          <w:color w:val="000000"/>
          <w:spacing w:val="0"/>
          <w:w w:val="100"/>
          <w:position w:val="0"/>
          <w:shd w:val="clear" w:color="auto" w:fill="auto"/>
          <w:lang w:val="ru-RU" w:eastAsia="ru-RU" w:bidi="ru-RU"/>
        </w:rPr>
        <w:t>п.11289 «Глубокая подвеска сбор без подъема задней части», однако исходя из наименования требуемый к поставке товар не является товаром, а представляет собой требуемые Заказчику услуги (работы), при этом закупка в данном случае осуществляется исключительно на поставку товара.</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Также Комиссия Управления отмечает, что Приложение №2 к Техническому заданию содержит позиции разных товаров с одинаковыми каталожными номерами, так, например:</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п.3542 «Насос топливный Д2601С,МТЗ1520,1523 высокого давления ЕВРО1 МОТОКРАБ №» с каталожным номером «РР6М10Р1Р3491»,</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п.3543 «Насос топливный Д2601С,МТЗ1520,1523 высокого давления ЕВРО1 ТЕХНО №» с каталожным номером «РР6М10Р1В491»,</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п.6535 «Турбокомпрессор Д2601,2603 (МТЗ1221,1222,1522,АМКОДОР) С2 Бйакошсе №» с каталожным номером «К276102»,</w:t>
      </w:r>
    </w:p>
    <w:p>
      <w:pPr>
        <w:pStyle w:val="Style9"/>
        <w:keepNext w:val="0"/>
        <w:keepLines w:val="0"/>
        <w:widowControl w:val="0"/>
        <w:shd w:val="clear" w:color="auto" w:fill="auto"/>
        <w:tabs>
          <w:tab w:pos="6585"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п.6536 «Турбокомпрессор Д2601,2603</w:t>
        <w:tab/>
        <w:t>(МТЗ1221,1222,1522,Амкодор)</w:t>
      </w:r>
    </w:p>
    <w:p>
      <w:pPr>
        <w:pStyle w:val="Style9"/>
        <w:keepNext w:val="0"/>
        <w:keepLines w:val="0"/>
        <w:widowControl w:val="0"/>
        <w:shd w:val="clear" w:color="auto" w:fill="auto"/>
        <w:bidi w:val="0"/>
        <w:spacing w:before="0" w:after="0" w:line="257" w:lineRule="auto"/>
        <w:ind w:left="0" w:right="0" w:firstLine="0"/>
        <w:jc w:val="both"/>
      </w:pPr>
      <w:r>
        <w:rPr>
          <w:color w:val="000000"/>
          <w:spacing w:val="0"/>
          <w:w w:val="100"/>
          <w:position w:val="0"/>
          <w:shd w:val="clear" w:color="auto" w:fill="auto"/>
          <w:lang w:val="ru-RU" w:eastAsia="ru-RU" w:bidi="ru-RU"/>
        </w:rPr>
        <w:t>ТУРБОКОМ №» с каталожным номером «К276102», при этом согласно расчету НМЦК цена единицы данных товаров является различной, а именно: цена единицы по п.3542 «Насос топливный Д2601С,МТЗ1520,1523 высокого давления ЕВРО1 МОТОКРАБ №» составляет 254 935,03 руб., в то время как цена единицы по п.3543 «Насос топливный Д2601С,МТЗ1520,1523 высокого давления ЕВРО1 ТЕХНО №» с идентичным каталожным номером равняется 134 947,65 руб.</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Аналогичная ситуация и с товарами по п.6535 «Турбокомпрессор Д2601,2603 (МТЗ1221,1222,1522,АМКОДОР) С2 Ыгакошсе №», п.6536 «Турбокомпрессор Д2601,2603 (МТЗ1221,1222,1522,Амкодор) ТУРБОКОМ №», цена единицы которых составляет 123 078,53 руб. и 72 918,68 руб. соответственно.</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Кроме того, в новой редакции извещения Техническое задание также содержит позиции товаров с каталожными номерами, которые таковыми не являются, например, по п. 15169 «Комплект прокладок ДВС» Заказчиком указан каталожный номер «Д260», при этом согласно пояснениям Заявителя «Д260» не является каталожным номером.</w:t>
      </w:r>
    </w:p>
    <w:p>
      <w:pPr>
        <w:pStyle w:val="Style9"/>
        <w:keepNext w:val="0"/>
        <w:keepLines w:val="0"/>
        <w:widowControl w:val="0"/>
        <w:shd w:val="clear" w:color="auto" w:fill="auto"/>
        <w:bidi w:val="0"/>
        <w:spacing w:before="0" w:after="0" w:line="314" w:lineRule="auto"/>
        <w:ind w:left="0" w:right="0" w:firstLine="700"/>
        <w:jc w:val="both"/>
        <w:rPr>
          <w:sz w:val="22"/>
          <w:szCs w:val="22"/>
        </w:rPr>
        <w:sectPr>
          <w:headerReference w:type="default" r:id="rId13"/>
          <w:footerReference w:type="default" r:id="rId14"/>
          <w:footnotePr>
            <w:pos w:val="pageBottom"/>
            <w:numFmt w:val="decimal"/>
            <w:numRestart w:val="continuous"/>
          </w:footnotePr>
          <w:pgSz w:w="11900" w:h="16840"/>
          <w:pgMar w:top="1162" w:right="537" w:bottom="408" w:left="1105"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основе вышеизложенного, с учетом имеющихся документов и сведений, Комиссия Управления приходит к выводу об обоснованности указанных доводов </w:t>
      </w:r>
      <w:r>
        <w:rPr>
          <w:rFonts w:ascii="Cambria" w:eastAsia="Cambria" w:hAnsi="Cambria" w:cs="Cambria"/>
          <w:color w:val="000000"/>
          <w:spacing w:val="0"/>
          <w:w w:val="100"/>
          <w:position w:val="0"/>
          <w:sz w:val="22"/>
          <w:szCs w:val="22"/>
          <w:shd w:val="clear" w:color="auto" w:fill="auto"/>
          <w:lang w:val="ru-RU" w:eastAsia="ru-RU" w:bidi="ru-RU"/>
        </w:rPr>
        <w:t>2024-45166</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жалобы и о нарушении Заказчиком положений п.1 ч.1, ч.2 ст.33 Закона о контрактной системе при формировании требований извещения об осуществлении закупки, что содержит признаки состава административного правонарушения, ответственность за которое предусмотрена ч.4.1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line="252"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1 .Признать жалобу ООО «ПФК Контур» на действия ГБУ «Автомобильные дороги СВАО» обоснованной в части описания объекта закупки.</w:t>
      </w:r>
    </w:p>
    <w:p>
      <w:pPr>
        <w:pStyle w:val="Style9"/>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2.Признать в действиях Заказчика нарушения п.1 ч.1, ч.2 ст.33 Закона о контрактной системе.</w:t>
      </w:r>
    </w:p>
    <w:p>
      <w:pPr>
        <w:pStyle w:val="Style9"/>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shd w:val="clear" w:color="auto" w:fill="auto"/>
        <w:bidi w:val="0"/>
        <w:spacing w:before="0" w:after="300" w:line="254"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62" w:right="527" w:bottom="1378" w:left="1106" w:header="0" w:footer="3" w:gutter="0"/>
          <w:cols w:space="720"/>
          <w:noEndnote/>
          <w:rtlGutter w:val="0"/>
          <w:docGrid w:linePitch="360"/>
        </w:sectPr>
      </w:pPr>
      <w:r>
        <mc:AlternateContent>
          <mc:Choice Requires="wps">
            <w:drawing>
              <wp:anchor distT="139700" distB="194945" distL="0" distR="0" simplePos="0" relativeHeight="125829383" behindDoc="0" locked="0" layoutInCell="1" allowOverlap="1">
                <wp:simplePos x="0" y="0"/>
                <wp:positionH relativeFrom="page">
                  <wp:posOffset>735965</wp:posOffset>
                </wp:positionH>
                <wp:positionV relativeFrom="paragraph">
                  <wp:posOffset>139700</wp:posOffset>
                </wp:positionV>
                <wp:extent cx="1850390" cy="250190"/>
                <wp:wrapTopAndBottom/>
                <wp:docPr id="21" name="Shape 21"/>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57.950000000000003pt;margin-top:11.pt;width:145.70000000000002pt;height:19.699999999999999pt;z-index:-125829370;mso-wrap-distance-left:0;mso-wrap-distance-top:11.pt;mso-wrap-distance-right:0;mso-wrap-distance-bottom:15.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37490" distB="0" distL="0" distR="1816735" simplePos="0" relativeHeight="125829385" behindDoc="0" locked="0" layoutInCell="1" allowOverlap="1">
            <wp:simplePos x="0" y="0"/>
            <wp:positionH relativeFrom="page">
              <wp:posOffset>3140710</wp:posOffset>
            </wp:positionH>
            <wp:positionV relativeFrom="paragraph">
              <wp:posOffset>237490</wp:posOffset>
            </wp:positionV>
            <wp:extent cx="292735" cy="34734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29273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301625</wp:posOffset>
                </wp:positionV>
                <wp:extent cx="1725295" cy="259080"/>
                <wp:wrapNone/>
                <wp:docPr id="25" name="Shape 25"/>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55000000000001pt;margin-top:23.75pt;width:135.84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194945" distL="0" distR="0" simplePos="0" relativeHeight="125829386" behindDoc="0" locked="0" layoutInCell="1" allowOverlap="1">
                <wp:simplePos x="0" y="0"/>
                <wp:positionH relativeFrom="page">
                  <wp:posOffset>6085205</wp:posOffset>
                </wp:positionH>
                <wp:positionV relativeFrom="paragraph">
                  <wp:posOffset>139700</wp:posOffset>
                </wp:positionV>
                <wp:extent cx="1136650" cy="250190"/>
                <wp:wrapTopAndBottom/>
                <wp:docPr id="27" name="Shape 27"/>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3" type="#_x0000_t202" style="position:absolute;margin-left:479.15000000000003pt;margin-top:11.pt;width:89.5pt;height:19.699999999999999pt;z-index:-125829367;mso-wrap-distance-left:0;mso-wrap-distance-top:11.pt;mso-wrap-distance-right:0;mso-wrap-distance-bottom:15.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Грешнева Дарья Сергеевна</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A4A4A"/>
          <w:spacing w:val="0"/>
          <w:w w:val="100"/>
          <w:position w:val="0"/>
          <w:shd w:val="clear" w:color="auto" w:fill="auto"/>
          <w:lang w:val="ru-RU" w:eastAsia="ru-RU" w:bidi="ru-RU"/>
        </w:rPr>
        <w:t xml:space="preserve">00Е5ЕС2ЕА33995761 </w:t>
      </w:r>
      <w:r>
        <w:rPr>
          <w:color w:val="272727"/>
          <w:spacing w:val="0"/>
          <w:w w:val="100"/>
          <w:position w:val="0"/>
          <w:shd w:val="clear" w:color="auto" w:fill="auto"/>
          <w:lang w:val="ru-RU" w:eastAsia="ru-RU" w:bidi="ru-RU"/>
        </w:rPr>
        <w:t>Э5А45С83ЕВ9ЕЕООЕ</w:t>
      </w:r>
      <w:r>
        <w:rPr>
          <w:color w:val="272727"/>
          <w:spacing w:val="0"/>
          <w:w w:val="100"/>
          <w:position w:val="0"/>
          <w:shd w:val="clear" w:color="auto" w:fill="auto"/>
          <w:lang w:val="ru-RU" w:eastAsia="ru-RU" w:bidi="ru-RU"/>
        </w:rPr>
        <w:t>Е</w:t>
      </w:r>
    </w:p>
    <w:p>
      <w:pPr>
        <w:pStyle w:val="Style27"/>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07.05.2024 </w:t>
      </w:r>
      <w:r>
        <w:rPr>
          <w:spacing w:val="0"/>
          <w:w w:val="100"/>
          <w:position w:val="0"/>
          <w:shd w:val="clear" w:color="auto" w:fill="auto"/>
          <w:lang w:val="ru-RU" w:eastAsia="ru-RU" w:bidi="ru-RU"/>
        </w:rPr>
        <w:t>по 31.07.2025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370" w:line="240" w:lineRule="auto"/>
        <w:ind w:left="0" w:right="0" w:firstLine="880"/>
        <w:jc w:val="left"/>
      </w:pPr>
      <w:r>
        <w:drawing>
          <wp:anchor distT="0" distB="0" distL="114300" distR="1931035" simplePos="0" relativeHeight="125829388" behindDoc="0" locked="0" layoutInCell="1" allowOverlap="1">
            <wp:simplePos x="0" y="0"/>
            <wp:positionH relativeFrom="page">
              <wp:posOffset>3140710</wp:posOffset>
            </wp:positionH>
            <wp:positionV relativeFrom="paragraph">
              <wp:posOffset>88900</wp:posOffset>
            </wp:positionV>
            <wp:extent cx="292735"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292735"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156210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55000000000001pt;margin-top:12.300000000000001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 xml:space="preserve">СЕРТИФИКАТЕ </w:t>
      </w:r>
      <w:r>
        <w:rPr>
          <w:color w:val="FFFFFF"/>
          <w:spacing w:val="0"/>
          <w:w w:val="100"/>
          <w:position w:val="0"/>
          <w:shd w:val="clear" w:color="auto" w:fill="auto"/>
          <w:lang w:val="ru-RU" w:eastAsia="ru-RU" w:bidi="ru-RU"/>
        </w:rPr>
        <w:t>ЭП</w:t>
      </w:r>
    </w:p>
    <w:p>
      <w:pPr>
        <w:pStyle w:val="Style27"/>
        <w:keepNext w:val="0"/>
        <w:keepLines w:val="0"/>
        <w:widowControl w:val="0"/>
        <w:shd w:val="clear" w:color="auto" w:fill="auto"/>
        <w:bidi w:val="0"/>
        <w:spacing w:before="0" w:after="0" w:line="240" w:lineRule="auto"/>
        <w:ind w:right="0" w:firstLine="0"/>
        <w:jc w:val="left"/>
      </w:pPr>
      <w:r>
        <w:rPr>
          <w:color w:val="4A4A4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A4A4A"/>
          <w:spacing w:val="0"/>
          <w:w w:val="100"/>
          <w:position w:val="0"/>
          <w:shd w:val="clear" w:color="auto" w:fill="auto"/>
          <w:lang w:val="ru-RU" w:eastAsia="ru-RU" w:bidi="ru-RU"/>
        </w:rPr>
        <w:t>0092302А1Е2Е82694604ЕЕЕ772202557ЕЕ</w:t>
      </w:r>
    </w:p>
    <w:p>
      <w:pPr>
        <w:pStyle w:val="Style2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272727"/>
          <w:spacing w:val="0"/>
          <w:w w:val="100"/>
          <w:position w:val="0"/>
          <w:shd w:val="clear" w:color="auto" w:fill="auto"/>
          <w:lang w:val="ru-RU" w:eastAsia="ru-RU" w:bidi="ru-RU"/>
        </w:rPr>
        <w:t xml:space="preserve">05.12.2023 </w:t>
      </w:r>
      <w:r>
        <w:rPr>
          <w:color w:val="7D7D7D"/>
          <w:spacing w:val="0"/>
          <w:w w:val="100"/>
          <w:position w:val="0"/>
          <w:shd w:val="clear" w:color="auto" w:fill="auto"/>
          <w:lang w:val="ru-RU" w:eastAsia="ru-RU" w:bidi="ru-RU"/>
        </w:rPr>
        <w:t xml:space="preserve">по </w:t>
      </w:r>
      <w:r>
        <w:rPr>
          <w:color w:val="4A4A4A"/>
          <w:spacing w:val="0"/>
          <w:w w:val="100"/>
          <w:position w:val="0"/>
          <w:shd w:val="clear" w:color="auto" w:fill="auto"/>
          <w:lang w:val="ru-RU" w:eastAsia="ru-RU" w:bidi="ru-RU"/>
        </w:rPr>
        <w:t>27.02.2025</w:t>
      </w:r>
    </w:p>
    <w:p>
      <w:pPr>
        <w:widowControl w:val="0"/>
        <w:spacing w:line="1" w:lineRule="exact"/>
      </w:pPr>
      <w:r>
        <mc:AlternateContent>
          <mc:Choice Requires="wps">
            <w:drawing>
              <wp:anchor distT="215265" distB="0" distL="0" distR="0" simplePos="0" relativeHeight="125829389" behindDoc="0" locked="0" layoutInCell="1" allowOverlap="1">
                <wp:simplePos x="0" y="0"/>
                <wp:positionH relativeFrom="page">
                  <wp:posOffset>3524885</wp:posOffset>
                </wp:positionH>
                <wp:positionV relativeFrom="paragraph">
                  <wp:posOffset>215265</wp:posOffset>
                </wp:positionV>
                <wp:extent cx="1725295" cy="255905"/>
                <wp:wrapTopAndBottom/>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5000000000001pt;margin-top:16.949999999999999pt;width:135.84999999999999pt;height:20.150000000000002pt;z-index:-125829364;mso-wrap-distance-left:0;mso-wrap-distance-top:16.949999999999999pt;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50800" distB="167640" distL="0" distR="0" simplePos="0" relativeHeight="125829391" behindDoc="0" locked="0" layoutInCell="1" allowOverlap="1">
                <wp:simplePos x="0" y="0"/>
                <wp:positionH relativeFrom="page">
                  <wp:posOffset>6097270</wp:posOffset>
                </wp:positionH>
                <wp:positionV relativeFrom="paragraph">
                  <wp:posOffset>50800</wp:posOffset>
                </wp:positionV>
                <wp:extent cx="1124585" cy="252730"/>
                <wp:wrapTopAndBottom/>
                <wp:docPr id="35" name="Shape 35"/>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wps:txbx>
                      <wps:bodyPr wrap="none" lIns="0" tIns="0" rIns="0" bIns="0">
                        <a:noAutoFit/>
                      </wps:bodyPr>
                    </wps:wsp>
                  </a:graphicData>
                </a:graphic>
              </wp:anchor>
            </w:drawing>
          </mc:Choice>
          <mc:Fallback>
            <w:pict>
              <v:shape id="_x0000_s1061" type="#_x0000_t202" style="position:absolute;margin-left:480.10000000000002pt;margin-top:4.pt;width:88.549999999999997pt;height:19.900000000000002pt;z-index:-125829362;mso-wrap-distance-left:0;mso-wrap-distance-top:4.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00803Е81769ОЕ8688ОО1Е612СЗС6В74577</w:t>
      </w:r>
    </w:p>
    <w:p>
      <w:pPr>
        <w:pStyle w:val="Style27"/>
        <w:keepNext w:val="0"/>
        <w:keepLines w:val="0"/>
        <w:widowControl w:val="0"/>
        <w:shd w:val="clear" w:color="auto" w:fill="auto"/>
        <w:bidi w:val="0"/>
        <w:spacing w:before="0" w:after="4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A4A4A"/>
          <w:spacing w:val="0"/>
          <w:w w:val="100"/>
          <w:position w:val="0"/>
          <w:shd w:val="clear" w:color="auto" w:fill="auto"/>
          <w:lang w:val="ru-RU" w:eastAsia="ru-RU" w:bidi="ru-RU"/>
        </w:rPr>
        <w:t xml:space="preserve">20.05.2024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13.08.2025</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62" w:right="527" w:bottom="137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726440</wp:posOffset>
              </wp:positionH>
              <wp:positionV relativeFrom="page">
                <wp:posOffset>10238740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2024-45166</w:t>
                          </w:r>
                        </w:p>
                      </w:txbxContent>
                    </wps:txbx>
                    <wps:bodyPr wrap="none" lIns="0" tIns="0" rIns="0" bIns="0">
                      <a:spAutoFit/>
                    </wps:bodyPr>
                  </wps:wsp>
                </a:graphicData>
              </a:graphic>
            </wp:anchor>
          </w:drawing>
        </mc:Choice>
        <mc:Fallback>
          <w:pict>
            <v:shape id="_x0000_s1031" type="#_x0000_t202" style="position:absolute;margin-left:57.200000000000003pt;margin-top:806.2000000000000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2024-45166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2024-45166</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2024-45166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726440</wp:posOffset>
              </wp:positionH>
              <wp:positionV relativeFrom="page">
                <wp:posOffset>10238740</wp:posOffset>
              </wp:positionV>
              <wp:extent cx="725170" cy="100330"/>
              <wp:wrapNone/>
              <wp:docPr id="19" name="Shape 1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2024-45166</w:t>
                          </w:r>
                        </w:p>
                      </w:txbxContent>
                    </wps:txbx>
                    <wps:bodyPr wrap="none" lIns="0" tIns="0" rIns="0" bIns="0">
                      <a:spAutoFit/>
                    </wps:bodyPr>
                  </wps:wsp>
                </a:graphicData>
              </a:graphic>
            </wp:anchor>
          </w:drawing>
        </mc:Choice>
        <mc:Fallback>
          <w:pict>
            <v:shape id="_x0000_s1045" type="#_x0000_t202" style="position:absolute;margin-left:57.200000000000003pt;margin-top:806.20000000000005pt;width:57.100000000000001pt;height:7.90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2024-45166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3926840</wp:posOffset>
              </wp:positionH>
              <wp:positionV relativeFrom="page">
                <wp:posOffset>476250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9999999999999pt;margin-top:37.5pt;width:5.0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3923665</wp:posOffset>
              </wp:positionH>
              <wp:positionV relativeFrom="page">
                <wp:posOffset>476250</wp:posOffset>
              </wp:positionV>
              <wp:extent cx="69850" cy="103505"/>
              <wp:wrapNone/>
              <wp:docPr id="15" name="Shape 15"/>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8.94999999999999pt;margin-top:37.5pt;width:5.5pt;height:8.15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3926840</wp:posOffset>
              </wp:positionH>
              <wp:positionV relativeFrom="page">
                <wp:posOffset>476250</wp:posOffset>
              </wp:positionV>
              <wp:extent cx="64135" cy="103505"/>
              <wp:wrapNone/>
              <wp:docPr id="17" name="Shape 1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19999999999999pt;margin-top:37.5pt;width:5.04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2">
    <w:name w:val="Основной текст (4)_"/>
    <w:basedOn w:val="DefaultParagraphFont"/>
    <w:link w:val="Style21"/>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5">
    <w:name w:val="Основной текст (5)_"/>
    <w:basedOn w:val="DefaultParagraphFont"/>
    <w:link w:val="Style24"/>
    <w:rPr>
      <w:rFonts w:ascii="Georgia" w:eastAsia="Georgia" w:hAnsi="Georgia" w:cs="Georgia"/>
      <w:b w:val="0"/>
      <w:bCs w:val="0"/>
      <w:i w:val="0"/>
      <w:iCs w:val="0"/>
      <w:smallCaps w:val="0"/>
      <w:strike w:val="0"/>
      <w:color w:val="E8E8E8"/>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46464"/>
      <w:sz w:val="12"/>
      <w:szCs w:val="12"/>
      <w:u w:val="none"/>
    </w:rPr>
  </w:style>
  <w:style w:type="character" w:customStyle="1" w:styleId="CharStyle34">
    <w:name w:val="Основной текст (6)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1">
    <w:name w:val="Основной текст (4)"/>
    <w:basedOn w:val="Normal"/>
    <w:link w:val="CharStyle2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4">
    <w:name w:val="Основной текст (5)"/>
    <w:basedOn w:val="Normal"/>
    <w:link w:val="CharStyle25"/>
    <w:pPr>
      <w:widowControl w:val="0"/>
      <w:shd w:val="clear" w:color="auto" w:fill="auto"/>
      <w:spacing w:after="90"/>
      <w:ind w:left="4520"/>
    </w:pPr>
    <w:rPr>
      <w:rFonts w:ascii="Georgia" w:eastAsia="Georgia" w:hAnsi="Georgia" w:cs="Georgia"/>
      <w:b w:val="0"/>
      <w:bCs w:val="0"/>
      <w:i w:val="0"/>
      <w:iCs w:val="0"/>
      <w:smallCaps w:val="0"/>
      <w:strike w:val="0"/>
      <w:color w:val="E8E8E8"/>
      <w:sz w:val="12"/>
      <w:szCs w:val="12"/>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646464"/>
      <w:sz w:val="12"/>
      <w:szCs w:val="12"/>
      <w:u w:val="none"/>
    </w:rPr>
  </w:style>
  <w:style w:type="paragraph" w:customStyle="1" w:styleId="Style33">
    <w:name w:val="Основной текст (6)"/>
    <w:basedOn w:val="Normal"/>
    <w:link w:val="CharStyle34"/>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