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3675" distL="1165860" distR="1108075" simplePos="0" relativeHeight="125829378" behindDoc="0" locked="0" layoutInCell="1" allowOverlap="1">
            <wp:simplePos x="0" y="0"/>
            <wp:positionH relativeFrom="page">
              <wp:posOffset>1778635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9595" distL="114300" distR="114300" simplePos="0" relativeHeight="125829379" behindDoc="0" locked="0" layoutInCell="1" allowOverlap="1">
                <wp:simplePos x="0" y="0"/>
                <wp:positionH relativeFrom="page">
                  <wp:posOffset>727075</wp:posOffset>
                </wp:positionH>
                <wp:positionV relativeFrom="paragraph">
                  <wp:posOffset>728980</wp:posOffset>
                </wp:positionV>
                <wp:extent cx="2578735" cy="2060575"/>
                <wp:wrapSquare wrapText="right"/>
                <wp:docPr id="3" name="Shape 3"/>
                <a:graphic xmlns:a="http://schemas.openxmlformats.org/drawingml/2006/main">
                  <a:graphicData uri="http://schemas.microsoft.com/office/word/2010/wordprocessingShape">
                    <wps:wsp>
                      <wps:cNvSpPr txBox="1"/>
                      <wps:spPr>
                        <a:xfrm>
                          <a:ext cx="2578735" cy="20605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2"/>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7"/>
                              <w:keepNext w:val="0"/>
                              <w:keepLines w:val="0"/>
                              <w:widowControl w:val="0"/>
                              <w:shd w:val="clear" w:color="auto" w:fill="auto"/>
                              <w:tabs>
                                <w:tab w:pos="1838" w:val="left"/>
                                <w:tab w:pos="2554" w:val="left"/>
                              </w:tabs>
                              <w:bidi w:val="0"/>
                              <w:spacing w:before="0" w:line="240" w:lineRule="auto"/>
                              <w:ind w:left="0" w:right="0" w:firstLine="0"/>
                              <w:jc w:val="center"/>
                            </w:pPr>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0.09.2024</w:t>
                            </w:r>
                            <w:r>
                              <w:fldChar w:fldCharType="end"/>
                            </w:r>
                            <w:r>
                              <w:rPr>
                                <w:color w:val="000000"/>
                                <w:spacing w:val="0"/>
                                <w:w w:val="100"/>
                                <w:position w:val="0"/>
                                <w:shd w:val="clear" w:color="auto" w:fill="auto"/>
                                <w:lang w:val="ru-RU" w:eastAsia="ru-RU" w:bidi="ru-RU"/>
                              </w:rPr>
                              <w:tab/>
                              <w:t>№</w:t>
                              <w:tab/>
                              <w:t>10304/24</w:t>
                            </w:r>
                          </w:p>
                          <w:p>
                            <w:pPr>
                              <w:pStyle w:val="Style5"/>
                              <w:keepNext w:val="0"/>
                              <w:keepLines w:val="0"/>
                              <w:widowControl w:val="0"/>
                              <w:shd w:val="clear" w:color="auto" w:fill="auto"/>
                              <w:bidi w:val="0"/>
                              <w:spacing w:before="0" w:after="12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25pt;margin-top:57.399999999999999pt;width:203.05000000000001pt;height:162.25pt;z-index:-125829374;mso-wrap-distance-left:9.pt;mso-wrap-distance-top:56.399999999999999pt;mso-wrap-distance-right:9.pt;mso-wrap-distance-bottom:44.850000000000001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2"/>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7"/>
                        <w:keepNext w:val="0"/>
                        <w:keepLines w:val="0"/>
                        <w:widowControl w:val="0"/>
                        <w:shd w:val="clear" w:color="auto" w:fill="auto"/>
                        <w:tabs>
                          <w:tab w:pos="1838" w:val="left"/>
                          <w:tab w:pos="2554" w:val="left"/>
                        </w:tabs>
                        <w:bidi w:val="0"/>
                        <w:spacing w:before="0" w:line="240" w:lineRule="auto"/>
                        <w:ind w:left="0" w:right="0" w:firstLine="0"/>
                        <w:jc w:val="center"/>
                      </w:pPr>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0.09.2024</w:t>
                      </w:r>
                      <w:r>
                        <w:fldChar w:fldCharType="end"/>
                      </w:r>
                      <w:r>
                        <w:rPr>
                          <w:color w:val="000000"/>
                          <w:spacing w:val="0"/>
                          <w:w w:val="100"/>
                          <w:position w:val="0"/>
                          <w:shd w:val="clear" w:color="auto" w:fill="auto"/>
                          <w:lang w:val="ru-RU" w:eastAsia="ru-RU" w:bidi="ru-RU"/>
                        </w:rPr>
                        <w:tab/>
                        <w:t>№</w:t>
                        <w:tab/>
                        <w:t>10304/24</w:t>
                      </w:r>
                    </w:p>
                    <w:p>
                      <w:pPr>
                        <w:pStyle w:val="Style5"/>
                        <w:keepNext w:val="0"/>
                        <w:keepLines w:val="0"/>
                        <w:widowControl w:val="0"/>
                        <w:shd w:val="clear" w:color="auto" w:fill="auto"/>
                        <w:bidi w:val="0"/>
                        <w:spacing w:before="0" w:after="12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v:textbox>
                <w10:wrap type="square" side="right" anchorx="page"/>
              </v:shape>
            </w:pict>
          </mc:Fallback>
        </mc:AlternateContent>
      </w:r>
      <w:r>
        <mc:AlternateContent>
          <mc:Choice Requires="wps">
            <w:drawing>
              <wp:anchor distT="3130550" distB="0" distL="123190" distR="2052955" simplePos="0" relativeHeight="125829381" behindDoc="0" locked="0" layoutInCell="1" allowOverlap="1">
                <wp:simplePos x="0" y="0"/>
                <wp:positionH relativeFrom="page">
                  <wp:posOffset>735965</wp:posOffset>
                </wp:positionH>
                <wp:positionV relativeFrom="paragraph">
                  <wp:posOffset>3143250</wp:posOffset>
                </wp:positionV>
                <wp:extent cx="631190" cy="216535"/>
                <wp:wrapSquare wrapText="right"/>
                <wp:docPr id="5" name="Shape 5"/>
                <a:graphic xmlns:a="http://schemas.openxmlformats.org/drawingml/2006/main">
                  <a:graphicData uri="http://schemas.microsoft.com/office/word/2010/wordprocessingShape">
                    <wps:wsp>
                      <wps:cNvSpPr txBox="1"/>
                      <wps:spPr>
                        <a:xfrm>
                          <a:ext cx="63119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1" type="#_x0000_t202" style="position:absolute;margin-left:57.950000000000003pt;margin-top:247.5pt;width:49.700000000000003pt;height:17.050000000000001pt;z-index:-125829372;mso-wrap-distance-left:9.7000000000000011pt;mso-wrap-distance-top:246.5pt;mso-wrap-distance-right:161.65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txbxContent>
                </v:textbox>
                <w10:wrap type="square" side="right" anchorx="page"/>
              </v:shape>
            </w:pict>
          </mc:Fallback>
        </mc:AlternateContent>
      </w:r>
    </w:p>
    <w:p>
      <w:pPr>
        <w:pStyle w:val="Style17"/>
        <w:keepNext/>
        <w:keepLines/>
        <w:widowControl w:val="0"/>
        <w:shd w:val="clear" w:color="auto" w:fill="auto"/>
        <w:bidi w:val="0"/>
        <w:spacing w:before="0" w:after="0" w:line="240" w:lineRule="auto"/>
        <w:ind w:left="1040" w:right="0" w:firstLine="0"/>
        <w:jc w:val="left"/>
      </w:pPr>
      <w:bookmarkStart w:id="0" w:name="bookmark0"/>
      <w:r>
        <w:rPr>
          <w:color w:val="000000"/>
          <w:spacing w:val="0"/>
          <w:w w:val="100"/>
          <w:position w:val="0"/>
          <w:sz w:val="24"/>
          <w:szCs w:val="24"/>
          <w:shd w:val="clear" w:color="auto" w:fill="auto"/>
          <w:lang w:val="ru-RU" w:eastAsia="ru-RU" w:bidi="ru-RU"/>
        </w:rPr>
        <w:t>ООО «Ренессанс-Мед»</w:t>
      </w:r>
      <w:bookmarkEnd w:id="0"/>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z w:val="24"/>
          <w:szCs w:val="24"/>
          <w:shd w:val="clear" w:color="auto" w:fill="auto"/>
          <w:lang w:val="ru-RU" w:eastAsia="ru-RU" w:bidi="ru-RU"/>
        </w:rPr>
        <w:t>105187, г. Москва, вн.тер.г. муниципальный округ Измайлово, ул/ 1-я Измайловского Зверинца, д. 8, помещ. 1/1</w:t>
      </w:r>
    </w:p>
    <w:p>
      <w:pPr>
        <w:pStyle w:val="Style10"/>
        <w:keepNext w:val="0"/>
        <w:keepLines w:val="0"/>
        <w:widowControl w:val="0"/>
        <w:shd w:val="clear" w:color="auto" w:fill="auto"/>
        <w:bidi w:val="0"/>
        <w:spacing w:before="0" w:after="240" w:line="240" w:lineRule="auto"/>
        <w:ind w:left="1040" w:right="0" w:firstLine="0"/>
        <w:jc w:val="left"/>
      </w:pPr>
      <w:r>
        <w:rPr>
          <w:color w:val="000000"/>
          <w:spacing w:val="0"/>
          <w:w w:val="100"/>
          <w:position w:val="0"/>
          <w:sz w:val="24"/>
          <w:szCs w:val="24"/>
          <w:shd w:val="clear" w:color="auto" w:fill="auto"/>
          <w:lang w:val="ru-RU" w:eastAsia="ru-RU" w:bidi="ru-RU"/>
        </w:rPr>
        <w:t>тГо.гепе88ап8-тед@уапдех.ш</w:t>
      </w:r>
    </w:p>
    <w:p>
      <w:pPr>
        <w:pStyle w:val="Style10"/>
        <w:keepNext w:val="0"/>
        <w:keepLines w:val="0"/>
        <w:widowControl w:val="0"/>
        <w:shd w:val="clear" w:color="auto" w:fill="auto"/>
        <w:bidi w:val="0"/>
        <w:spacing w:before="0" w:after="0" w:line="240" w:lineRule="auto"/>
        <w:ind w:left="1040" w:right="0" w:firstLine="0"/>
        <w:jc w:val="left"/>
      </w:pPr>
      <w:r>
        <w:rPr>
          <w:b/>
          <w:bCs/>
          <w:color w:val="000000"/>
          <w:spacing w:val="0"/>
          <w:w w:val="100"/>
          <w:position w:val="0"/>
          <w:sz w:val="24"/>
          <w:szCs w:val="24"/>
          <w:shd w:val="clear" w:color="auto" w:fill="auto"/>
          <w:lang w:val="ru-RU" w:eastAsia="ru-RU" w:bidi="ru-RU"/>
        </w:rPr>
        <w:t>ГБУЗ ПК «Городская клиническая больница № 2 им. Федора Христофоровича Граля»</w:t>
      </w:r>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z w:val="24"/>
          <w:szCs w:val="24"/>
          <w:shd w:val="clear" w:color="auto" w:fill="auto"/>
          <w:lang w:val="ru-RU" w:eastAsia="ru-RU" w:bidi="ru-RU"/>
        </w:rPr>
        <w:t>614068, г. Пермь, ул. Пермская, 230</w:t>
      </w:r>
    </w:p>
    <w:p>
      <w:pPr>
        <w:pStyle w:val="Style10"/>
        <w:keepNext w:val="0"/>
        <w:keepLines w:val="0"/>
        <w:widowControl w:val="0"/>
        <w:shd w:val="clear" w:color="auto" w:fill="auto"/>
        <w:bidi w:val="0"/>
        <w:spacing w:before="0" w:after="240" w:line="240" w:lineRule="auto"/>
        <w:ind w:left="1040" w:right="0" w:firstLine="0"/>
        <w:jc w:val="left"/>
      </w:pPr>
      <w:r>
        <w:rPr>
          <w:color w:val="000000"/>
          <w:spacing w:val="0"/>
          <w:w w:val="100"/>
          <w:position w:val="0"/>
          <w:sz w:val="24"/>
          <w:szCs w:val="24"/>
          <w:shd w:val="clear" w:color="auto" w:fill="auto"/>
          <w:lang w:val="ru-RU" w:eastAsia="ru-RU" w:bidi="ru-RU"/>
        </w:rPr>
        <w:t>дкЬ2-хакирИ@уапдех.ш</w:t>
      </w:r>
    </w:p>
    <w:p>
      <w:pPr>
        <w:pStyle w:val="Style10"/>
        <w:keepNext w:val="0"/>
        <w:keepLines w:val="0"/>
        <w:widowControl w:val="0"/>
        <w:shd w:val="clear" w:color="auto" w:fill="auto"/>
        <w:bidi w:val="0"/>
        <w:spacing w:before="0" w:after="0" w:line="240" w:lineRule="auto"/>
        <w:ind w:left="1040" w:right="0" w:firstLine="0"/>
        <w:jc w:val="left"/>
      </w:pPr>
      <w:r>
        <w:rPr>
          <w:b/>
          <w:bCs/>
          <w:color w:val="000000"/>
          <w:spacing w:val="0"/>
          <w:w w:val="100"/>
          <w:position w:val="0"/>
          <w:sz w:val="24"/>
          <w:szCs w:val="24"/>
          <w:shd w:val="clear" w:color="auto" w:fill="auto"/>
          <w:lang w:val="ru-RU" w:eastAsia="ru-RU" w:bidi="ru-RU"/>
        </w:rPr>
        <w:t>Министерство по регулированию контрактной системы в сфере закупок Пермского края</w:t>
      </w:r>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z w:val="24"/>
          <w:szCs w:val="24"/>
          <w:shd w:val="clear" w:color="auto" w:fill="auto"/>
          <w:lang w:val="ru-RU" w:eastAsia="ru-RU" w:bidi="ru-RU"/>
        </w:rPr>
        <w:t>614015, г. Пермь, ул. Петропавловская, дом 56</w:t>
      </w:r>
    </w:p>
    <w:p>
      <w:pPr>
        <w:pStyle w:val="Style10"/>
        <w:keepNext w:val="0"/>
        <w:keepLines w:val="0"/>
        <w:widowControl w:val="0"/>
        <w:shd w:val="clear" w:color="auto" w:fill="auto"/>
        <w:bidi w:val="0"/>
        <w:spacing w:before="0" w:after="240" w:line="240" w:lineRule="auto"/>
        <w:ind w:left="5320" w:right="0" w:firstLine="0"/>
        <w:jc w:val="left"/>
      </w:pPr>
      <w:r>
        <w:rPr>
          <w:color w:val="000000"/>
          <w:spacing w:val="0"/>
          <w:w w:val="100"/>
          <w:position w:val="0"/>
          <w:sz w:val="24"/>
          <w:szCs w:val="24"/>
          <w:shd w:val="clear" w:color="auto" w:fill="auto"/>
          <w:lang w:val="ru-RU" w:eastAsia="ru-RU" w:bidi="ru-RU"/>
        </w:rPr>
        <w:t>оарахдеппа@тгк8.регткгаЁш</w:t>
      </w:r>
    </w:p>
    <w:p>
      <w:pPr>
        <w:pStyle w:val="Style17"/>
        <w:keepNext/>
        <w:keepLines/>
        <w:widowControl w:val="0"/>
        <w:shd w:val="clear" w:color="auto" w:fill="auto"/>
        <w:bidi w:val="0"/>
        <w:spacing w:before="0" w:after="0" w:line="240" w:lineRule="auto"/>
        <w:ind w:left="5320" w:right="0" w:firstLine="0"/>
        <w:jc w:val="left"/>
      </w:pPr>
      <w:bookmarkStart w:id="2" w:name="bookmark2"/>
      <w:r>
        <w:rPr>
          <w:color w:val="000000"/>
          <w:spacing w:val="0"/>
          <w:w w:val="100"/>
          <w:position w:val="0"/>
          <w:sz w:val="24"/>
          <w:szCs w:val="24"/>
          <w:shd w:val="clear" w:color="auto" w:fill="auto"/>
          <w:lang w:val="ru-RU" w:eastAsia="ru-RU" w:bidi="ru-RU"/>
        </w:rPr>
        <w:t>АО «Сбербанк-АСТ»</w:t>
      </w:r>
      <w:bookmarkEnd w:id="2"/>
    </w:p>
    <w:p>
      <w:pPr>
        <w:pStyle w:val="Style10"/>
        <w:keepNext w:val="0"/>
        <w:keepLines w:val="0"/>
        <w:widowControl w:val="0"/>
        <w:shd w:val="clear" w:color="auto" w:fill="auto"/>
        <w:bidi w:val="0"/>
        <w:spacing w:before="0" w:after="1120" w:line="240" w:lineRule="auto"/>
        <w:ind w:left="5320" w:right="0" w:firstLine="0"/>
        <w:jc w:val="left"/>
      </w:pPr>
      <w:r>
        <w:rPr>
          <w:color w:val="000000"/>
          <w:spacing w:val="0"/>
          <w:w w:val="100"/>
          <w:position w:val="0"/>
          <w:sz w:val="24"/>
          <w:szCs w:val="24"/>
          <w:shd w:val="clear" w:color="auto" w:fill="auto"/>
          <w:lang w:val="ru-RU" w:eastAsia="ru-RU" w:bidi="ru-RU"/>
        </w:rPr>
        <w:t>ко@8ЬегЬапк-а81.ги</w:t>
      </w:r>
    </w:p>
    <w:p>
      <w:pPr>
        <w:pStyle w:val="Style17"/>
        <w:keepNext/>
        <w:keepLines/>
        <w:widowControl w:val="0"/>
        <w:shd w:val="clear" w:color="auto" w:fill="auto"/>
        <w:bidi w:val="0"/>
        <w:spacing w:before="0" w:after="0" w:line="240" w:lineRule="auto"/>
        <w:ind w:left="0" w:right="0" w:firstLine="0"/>
        <w:jc w:val="center"/>
      </w:pPr>
      <w:bookmarkStart w:id="4" w:name="bookmark4"/>
      <w:r>
        <w:rPr>
          <w:color w:val="000000"/>
          <w:spacing w:val="0"/>
          <w:w w:val="100"/>
          <w:position w:val="0"/>
          <w:sz w:val="24"/>
          <w:szCs w:val="24"/>
          <w:shd w:val="clear" w:color="auto" w:fill="auto"/>
          <w:lang w:val="ru-RU" w:eastAsia="ru-RU" w:bidi="ru-RU"/>
        </w:rPr>
        <w:t>РЕШЕНИЕ по делу № 059/06/105-1173/2024</w:t>
      </w:r>
      <w:bookmarkEnd w:id="4"/>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(жалоба ООО «Ренессанс-Мед», вх. № 13915/24 от 18.09.2024 г.)</w:t>
      </w:r>
    </w:p>
    <w:p>
      <w:pPr>
        <w:pStyle w:val="Style17"/>
        <w:keepNext/>
        <w:keepLines/>
        <w:widowControl w:val="0"/>
        <w:shd w:val="clear" w:color="auto" w:fill="auto"/>
        <w:tabs>
          <w:tab w:pos="9216" w:val="left"/>
        </w:tabs>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25.09.2024 г.</w:t>
        <w:tab/>
        <w:t>г. Пермь</w:t>
      </w:r>
      <w:bookmarkEnd w:id="6"/>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Пермскому краю (далее - Комиссия) в составе:</w:t>
      </w:r>
    </w:p>
    <w:p>
      <w:pPr>
        <w:pStyle w:val="Style10"/>
        <w:keepNext w:val="0"/>
        <w:keepLines w:val="0"/>
        <w:widowControl w:val="0"/>
        <w:shd w:val="clear" w:color="auto" w:fill="auto"/>
        <w:bidi w:val="0"/>
        <w:spacing w:before="0" w:after="0"/>
        <w:ind w:left="0" w:right="0" w:firstLine="740"/>
        <w:jc w:val="both"/>
      </w:pPr>
      <w:r>
        <w:rPr>
          <w:b/>
          <w:bCs/>
          <w:color w:val="000000"/>
          <w:spacing w:val="0"/>
          <w:w w:val="100"/>
          <w:position w:val="0"/>
          <w:sz w:val="24"/>
          <w:szCs w:val="24"/>
          <w:shd w:val="clear" w:color="auto" w:fill="auto"/>
          <w:lang w:val="ru-RU" w:eastAsia="ru-RU" w:bidi="ru-RU"/>
        </w:rPr>
        <w:t xml:space="preserve">Председатель Комиссии - Субботина Е.С., </w:t>
      </w:r>
      <w:r>
        <w:rPr>
          <w:color w:val="000000"/>
          <w:spacing w:val="0"/>
          <w:w w:val="100"/>
          <w:position w:val="0"/>
          <w:sz w:val="24"/>
          <w:szCs w:val="24"/>
          <w:shd w:val="clear" w:color="auto" w:fill="auto"/>
          <w:lang w:val="ru-RU" w:eastAsia="ru-RU" w:bidi="ru-RU"/>
        </w:rPr>
        <w:t>начальник отдела контроля закупок,</w:t>
      </w:r>
    </w:p>
    <w:p>
      <w:pPr>
        <w:pStyle w:val="Style10"/>
        <w:keepNext w:val="0"/>
        <w:keepLines w:val="0"/>
        <w:widowControl w:val="0"/>
        <w:shd w:val="clear" w:color="auto" w:fill="auto"/>
        <w:bidi w:val="0"/>
        <w:spacing w:before="0" w:after="60"/>
        <w:ind w:left="0" w:right="0" w:firstLine="740"/>
        <w:jc w:val="both"/>
      </w:pPr>
      <w:r>
        <w:rPr>
          <w:b/>
          <w:bCs/>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numPr>
          <w:ilvl w:val="0"/>
          <w:numId w:val="1"/>
        </w:numPr>
        <w:shd w:val="clear" w:color="auto" w:fill="auto"/>
        <w:tabs>
          <w:tab w:pos="1007" w:val="left"/>
        </w:tabs>
        <w:bidi w:val="0"/>
        <w:spacing w:before="0" w:after="0"/>
        <w:ind w:left="0" w:right="0" w:firstLine="740"/>
        <w:jc w:val="both"/>
      </w:pPr>
      <w:r>
        <w:rPr>
          <w:b/>
          <w:bCs/>
          <w:color w:val="000000"/>
          <w:spacing w:val="0"/>
          <w:w w:val="100"/>
          <w:position w:val="0"/>
          <w:sz w:val="24"/>
          <w:szCs w:val="24"/>
          <w:shd w:val="clear" w:color="auto" w:fill="auto"/>
          <w:lang w:val="ru-RU" w:eastAsia="ru-RU" w:bidi="ru-RU"/>
        </w:rPr>
        <w:t xml:space="preserve">Лыкова О.В., </w:t>
      </w:r>
      <w:r>
        <w:rPr>
          <w:color w:val="000000"/>
          <w:spacing w:val="0"/>
          <w:w w:val="100"/>
          <w:position w:val="0"/>
          <w:sz w:val="24"/>
          <w:szCs w:val="24"/>
          <w:shd w:val="clear" w:color="auto" w:fill="auto"/>
          <w:lang w:val="ru-RU" w:eastAsia="ru-RU" w:bidi="ru-RU"/>
        </w:rPr>
        <w:t>помощник руководителя Управления,</w:t>
      </w:r>
    </w:p>
    <w:p>
      <w:pPr>
        <w:pStyle w:val="Style10"/>
        <w:keepNext w:val="0"/>
        <w:keepLines w:val="0"/>
        <w:widowControl w:val="0"/>
        <w:numPr>
          <w:ilvl w:val="0"/>
          <w:numId w:val="1"/>
        </w:numPr>
        <w:shd w:val="clear" w:color="auto" w:fill="auto"/>
        <w:tabs>
          <w:tab w:pos="1007" w:val="left"/>
        </w:tabs>
        <w:bidi w:val="0"/>
        <w:spacing w:before="0" w:after="0"/>
        <w:ind w:left="0" w:right="0" w:firstLine="740"/>
        <w:jc w:val="both"/>
      </w:pPr>
      <w:r>
        <w:rPr>
          <w:b/>
          <w:bCs/>
          <w:color w:val="000000"/>
          <w:spacing w:val="0"/>
          <w:w w:val="100"/>
          <w:position w:val="0"/>
          <w:sz w:val="24"/>
          <w:szCs w:val="24"/>
          <w:shd w:val="clear" w:color="auto" w:fill="auto"/>
          <w:lang w:val="ru-RU" w:eastAsia="ru-RU" w:bidi="ru-RU"/>
        </w:rPr>
        <w:t xml:space="preserve">Журавлев М.А.,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при участии посредством ВКС: представителя ООО «Ренессанс-Мед» - Жиляковой М.А. (на основании доверенности), представителя Министерства по регулированию контрактной системы в сфере закупок Пермского края - Агафоновой О.Г. (на основании доверенности),</w:t>
      </w:r>
    </w:p>
    <w:p>
      <w:pPr>
        <w:pStyle w:val="Style10"/>
        <w:keepNext w:val="0"/>
        <w:keepLines w:val="0"/>
        <w:widowControl w:val="0"/>
        <w:numPr>
          <w:ilvl w:val="0"/>
          <w:numId w:val="1"/>
        </w:numPr>
        <w:shd w:val="clear" w:color="auto" w:fill="auto"/>
        <w:tabs>
          <w:tab w:pos="1016"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отсутствие представителя ГБУЗ ПК «Городская клиническая больница № 2 имени Федора Христофоровича Граля» (извещены надлежащим образом),</w:t>
      </w:r>
    </w:p>
    <w:p>
      <w:pPr>
        <w:pStyle w:val="Style10"/>
        <w:keepNext w:val="0"/>
        <w:keepLines w:val="0"/>
        <w:widowControl w:val="0"/>
        <w:shd w:val="clear" w:color="auto" w:fill="auto"/>
        <w:bidi w:val="0"/>
        <w:spacing w:before="0" w:after="280"/>
        <w:ind w:left="0" w:right="0" w:firstLine="740"/>
        <w:jc w:val="both"/>
      </w:pPr>
      <w:r>
        <w:rPr>
          <w:color w:val="000000"/>
          <w:spacing w:val="0"/>
          <w:w w:val="100"/>
          <w:position w:val="0"/>
          <w:sz w:val="24"/>
          <w:szCs w:val="24"/>
          <w:shd w:val="clear" w:color="auto" w:fill="auto"/>
          <w:lang w:val="ru-RU" w:eastAsia="ru-RU" w:bidi="ru-RU"/>
        </w:rPr>
        <w:t>рассмотрев жалобу ООО «Ренессанс-Мед» (далее - Заявитель) на действия ГБУЗ ПК «Городская клиническая больница № 2 им. Федора Христофоровича Граля» (далее - Заказчик), Министерства по регулированию контрактной системы в сфере закупок Пермского края (далее - Уполномоченный орган) при проведении электронного аукциона на поставка медицинского оборудования - система эндоскопической визуализации (изв.№ 0156200009924001087),</w:t>
      </w:r>
    </w:p>
    <w:p>
      <w:pPr>
        <w:pStyle w:val="Style17"/>
        <w:keepNext/>
        <w:keepLines/>
        <w:widowControl w:val="0"/>
        <w:shd w:val="clear" w:color="auto" w:fill="auto"/>
        <w:bidi w:val="0"/>
        <w:spacing w:before="0" w:after="0" w:line="276" w:lineRule="auto"/>
        <w:ind w:left="0" w:right="0" w:firstLine="0"/>
        <w:jc w:val="center"/>
      </w:pPr>
      <w:bookmarkStart w:id="8" w:name="bookmark8"/>
      <w:r>
        <w:rPr>
          <w:color w:val="000000"/>
          <w:spacing w:val="0"/>
          <w:w w:val="100"/>
          <w:position w:val="0"/>
          <w:sz w:val="24"/>
          <w:szCs w:val="24"/>
          <w:shd w:val="clear" w:color="auto" w:fill="auto"/>
          <w:lang w:val="ru-RU" w:eastAsia="ru-RU" w:bidi="ru-RU"/>
        </w:rPr>
        <w:t>УСТАНОВИЛА:</w:t>
      </w:r>
      <w:bookmarkEnd w:id="8"/>
    </w:p>
    <w:p>
      <w:pPr>
        <w:pStyle w:val="Style10"/>
        <w:keepNext w:val="0"/>
        <w:keepLines w:val="0"/>
        <w:widowControl w:val="0"/>
        <w:shd w:val="clear" w:color="auto" w:fill="auto"/>
        <w:bidi w:val="0"/>
        <w:spacing w:before="0" w:after="120"/>
        <w:ind w:left="0" w:right="0" w:firstLine="740"/>
        <w:jc w:val="both"/>
      </w:pPr>
      <w:r>
        <w:rPr>
          <w:color w:val="000000"/>
          <w:spacing w:val="0"/>
          <w:w w:val="100"/>
          <w:position w:val="0"/>
          <w:sz w:val="24"/>
          <w:szCs w:val="24"/>
          <w:shd w:val="clear" w:color="auto" w:fill="auto"/>
          <w:lang w:val="ru-RU" w:eastAsia="ru-RU" w:bidi="ru-RU"/>
        </w:rPr>
        <w:t>Заявитель полагает, что нормы Федерального закона от 05.04.2013 г. № 44-ФЗ «О</w:t>
      </w:r>
    </w:p>
    <w:p>
      <w:pPr>
        <w:pStyle w:val="Style22"/>
        <w:keepNext/>
        <w:keepLines/>
        <w:widowControl w:val="0"/>
        <w:shd w:val="clear" w:color="auto" w:fill="auto"/>
        <w:bidi w:val="0"/>
        <w:spacing w:before="0" w:line="240" w:lineRule="auto"/>
        <w:ind w:left="0" w:right="0" w:firstLine="0"/>
        <w:jc w:val="left"/>
      </w:pPr>
      <w:bookmarkStart w:id="10" w:name="bookmark10"/>
      <w:r>
        <w:rPr>
          <w:color w:val="000000"/>
          <w:spacing w:val="0"/>
          <w:w w:val="100"/>
          <w:position w:val="0"/>
          <w:shd w:val="clear" w:color="auto" w:fill="auto"/>
          <w:lang w:val="ru-RU" w:eastAsia="ru-RU" w:bidi="ru-RU"/>
        </w:rPr>
        <w:t>111111111111111111111111</w:t>
      </w:r>
      <w:bookmarkEnd w:id="10"/>
    </w:p>
    <w:p>
      <w:pPr>
        <w:pStyle w:val="Style10"/>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Заказчика, Уполномоченного органа.</w:t>
      </w:r>
    </w:p>
    <w:p>
      <w:pPr>
        <w:pStyle w:val="Style10"/>
        <w:keepNext w:val="0"/>
        <w:keepLines w:val="0"/>
        <w:widowControl w:val="0"/>
        <w:shd w:val="clear" w:color="auto" w:fill="auto"/>
        <w:bidi w:val="0"/>
        <w:spacing w:before="0" w:after="0"/>
        <w:ind w:left="0" w:right="0" w:firstLine="740"/>
        <w:jc w:val="both"/>
      </w:pPr>
      <w:r>
        <w:rPr>
          <w:b/>
          <w:bCs/>
          <w:color w:val="000000"/>
          <w:spacing w:val="0"/>
          <w:w w:val="100"/>
          <w:position w:val="0"/>
          <w:sz w:val="24"/>
          <w:szCs w:val="24"/>
          <w:shd w:val="clear" w:color="auto" w:fill="auto"/>
          <w:lang w:val="ru-RU" w:eastAsia="ru-RU" w:bidi="ru-RU"/>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извещению № 0156200009924001087 Заказчиком, Уполномоченным органом проводился электронный аукцион на поставка медицинского оборудования - система эндоскопической визуализации.</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извещением о проведении электронного аукциона:</w:t>
      </w:r>
    </w:p>
    <w:p>
      <w:pPr>
        <w:pStyle w:val="Style10"/>
        <w:keepNext w:val="0"/>
        <w:keepLines w:val="0"/>
        <w:widowControl w:val="0"/>
        <w:numPr>
          <w:ilvl w:val="0"/>
          <w:numId w:val="3"/>
        </w:numPr>
        <w:shd w:val="clear" w:color="auto" w:fill="auto"/>
        <w:tabs>
          <w:tab w:pos="1059"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извещение о проведении электронного аукциона размещено в единой информационной системе в сфере закупок \\л\л\-.хакирк1.до\'.ги (далее - ЕИС) - 09.09.2024 г.</w:t>
      </w:r>
    </w:p>
    <w:p>
      <w:pPr>
        <w:pStyle w:val="Style10"/>
        <w:keepNext w:val="0"/>
        <w:keepLines w:val="0"/>
        <w:widowControl w:val="0"/>
        <w:numPr>
          <w:ilvl w:val="0"/>
          <w:numId w:val="3"/>
        </w:numPr>
        <w:shd w:val="clear" w:color="auto" w:fill="auto"/>
        <w:tabs>
          <w:tab w:pos="173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Аукцион;</w:t>
      </w:r>
    </w:p>
    <w:p>
      <w:pPr>
        <w:pStyle w:val="Style10"/>
        <w:keepNext w:val="0"/>
        <w:keepLines w:val="0"/>
        <w:widowControl w:val="0"/>
        <w:numPr>
          <w:ilvl w:val="0"/>
          <w:numId w:val="3"/>
        </w:numPr>
        <w:shd w:val="clear" w:color="auto" w:fill="auto"/>
        <w:tabs>
          <w:tab w:pos="173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- 15 000 000,00 руб.;</w:t>
      </w:r>
    </w:p>
    <w:p>
      <w:pPr>
        <w:pStyle w:val="Style10"/>
        <w:keepNext w:val="0"/>
        <w:keepLines w:val="0"/>
        <w:widowControl w:val="0"/>
        <w:numPr>
          <w:ilvl w:val="0"/>
          <w:numId w:val="3"/>
        </w:numPr>
        <w:shd w:val="clear" w:color="auto" w:fill="auto"/>
        <w:tabs>
          <w:tab w:pos="173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дата окончания подачи заявок - 18.09.2024 г.</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Заявитель полагает, что требованиям Технического задания соответствует товар единственного производителя - Реп1а\ ЕРК-ЕРК-18020с.</w:t>
      </w:r>
    </w:p>
    <w:p>
      <w:pPr>
        <w:pStyle w:val="Style10"/>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письменных пояснениях Заказчик указал, что из описания объекта закупки в извещении, следует, что Заказчику необходима система эндокринной визуализации со следующими, оспариваемыми Заявителем, характеристиками:</w:t>
      </w:r>
    </w:p>
    <w:tbl>
      <w:tblPr>
        <w:tblOverlap w:val="never"/>
        <w:jc w:val="center"/>
        <w:tblLayout w:type="fixed"/>
      </w:tblPr>
      <w:tblGrid>
        <w:gridCol w:w="5923"/>
        <w:gridCol w:w="3941"/>
      </w:tblGrid>
      <w:tr>
        <w:trPr>
          <w:trHeight w:val="605"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ind w:left="0" w:right="0" w:firstLine="820"/>
              <w:jc w:val="both"/>
            </w:pPr>
            <w:r>
              <w:rPr>
                <w:color w:val="000000"/>
                <w:spacing w:val="0"/>
                <w:w w:val="100"/>
                <w:position w:val="0"/>
                <w:sz w:val="24"/>
                <w:szCs w:val="24"/>
                <w:shd w:val="clear" w:color="auto" w:fill="auto"/>
                <w:lang w:val="ru-RU" w:eastAsia="ru-RU" w:bidi="ru-RU"/>
              </w:rPr>
              <w:t>Оптическое улучшение изображения с использованием света измененного спектра</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800"/>
              <w:jc w:val="left"/>
            </w:pPr>
            <w:r>
              <w:rPr>
                <w:color w:val="000000"/>
                <w:spacing w:val="0"/>
                <w:w w:val="100"/>
                <w:position w:val="0"/>
                <w:sz w:val="24"/>
                <w:szCs w:val="24"/>
                <w:shd w:val="clear" w:color="auto" w:fill="auto"/>
                <w:lang w:val="ru-RU" w:eastAsia="ru-RU" w:bidi="ru-RU"/>
              </w:rPr>
              <w:t>Есть</w:t>
            </w:r>
          </w:p>
        </w:tc>
      </w:tr>
      <w:tr>
        <w:trPr>
          <w:trHeight w:val="293"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Тип ламп</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800"/>
              <w:jc w:val="left"/>
            </w:pPr>
            <w:r>
              <w:rPr>
                <w:color w:val="000000"/>
                <w:spacing w:val="0"/>
                <w:w w:val="100"/>
                <w:position w:val="0"/>
                <w:sz w:val="24"/>
                <w:szCs w:val="24"/>
                <w:shd w:val="clear" w:color="auto" w:fill="auto"/>
                <w:lang w:val="ru-RU" w:eastAsia="ru-RU" w:bidi="ru-RU"/>
              </w:rPr>
              <w:t>светодиодная</w:t>
            </w:r>
          </w:p>
        </w:tc>
      </w:tr>
      <w:tr>
        <w:trPr>
          <w:trHeight w:val="600" w:hRule="exact"/>
        </w:trPr>
        <w:tc>
          <w:tcPr>
            <w:tcBorders>
              <w:top w:val="single" w:sz="4"/>
              <w:left w:val="single" w:sz="4"/>
            </w:tcBorders>
            <w:shd w:val="clear" w:color="auto" w:fill="auto"/>
            <w:vAlign w:val="bottom"/>
          </w:tcPr>
          <w:p>
            <w:pPr>
              <w:pStyle w:val="Style26"/>
              <w:keepNext w:val="0"/>
              <w:keepLines w:val="0"/>
              <w:widowControl w:val="0"/>
              <w:shd w:val="clear" w:color="auto" w:fill="auto"/>
              <w:tabs>
                <w:tab w:pos="2850" w:val="left"/>
                <w:tab w:pos="4530" w:val="left"/>
              </w:tabs>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Количество</w:t>
              <w:tab/>
              <w:t>уровней</w:t>
              <w:tab/>
              <w:t>регулировки</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интенсивности освещения лампы</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800"/>
              <w:jc w:val="left"/>
            </w:pPr>
            <w:r>
              <w:rPr>
                <w:color w:val="000000"/>
                <w:spacing w:val="0"/>
                <w:w w:val="100"/>
                <w:position w:val="0"/>
                <w:sz w:val="24"/>
                <w:szCs w:val="24"/>
                <w:shd w:val="clear" w:color="auto" w:fill="auto"/>
                <w:lang w:val="ru-RU" w:eastAsia="ru-RU" w:bidi="ru-RU"/>
              </w:rPr>
              <w:t>&gt;11</w:t>
            </w:r>
          </w:p>
        </w:tc>
      </w:tr>
      <w:tr>
        <w:trPr>
          <w:trHeight w:val="605"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ind w:left="0" w:right="0" w:firstLine="820"/>
              <w:jc w:val="left"/>
            </w:pPr>
            <w:r>
              <w:rPr>
                <w:color w:val="000000"/>
                <w:spacing w:val="0"/>
                <w:w w:val="100"/>
                <w:position w:val="0"/>
                <w:sz w:val="24"/>
                <w:szCs w:val="24"/>
                <w:shd w:val="clear" w:color="auto" w:fill="auto"/>
                <w:lang w:val="ru-RU" w:eastAsia="ru-RU" w:bidi="ru-RU"/>
              </w:rPr>
              <w:t>Количество уровней регулировки воздушного потока</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800"/>
              <w:jc w:val="left"/>
            </w:pPr>
            <w:r>
              <w:rPr>
                <w:color w:val="000000"/>
                <w:spacing w:val="0"/>
                <w:w w:val="100"/>
                <w:position w:val="0"/>
                <w:sz w:val="24"/>
                <w:szCs w:val="24"/>
                <w:shd w:val="clear" w:color="auto" w:fill="auto"/>
                <w:lang w:val="ru-RU" w:eastAsia="ru-RU" w:bidi="ru-RU"/>
              </w:rPr>
              <w:t>&gt;3</w:t>
            </w:r>
          </w:p>
        </w:tc>
      </w:tr>
      <w:tr>
        <w:trPr>
          <w:trHeight w:val="283"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820"/>
              <w:jc w:val="left"/>
            </w:pPr>
            <w:r>
              <w:rPr>
                <w:color w:val="000000"/>
                <w:spacing w:val="0"/>
                <w:w w:val="100"/>
                <w:position w:val="0"/>
                <w:sz w:val="24"/>
                <w:szCs w:val="24"/>
                <w:shd w:val="clear" w:color="auto" w:fill="auto"/>
                <w:lang w:val="ru-RU" w:eastAsia="ru-RU" w:bidi="ru-RU"/>
              </w:rPr>
              <w:t>Диаметр рабочей части видеоколоноскопа</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800"/>
              <w:jc w:val="left"/>
            </w:pPr>
            <w:r>
              <w:rPr>
                <w:color w:val="000000"/>
                <w:spacing w:val="0"/>
                <w:w w:val="100"/>
                <w:position w:val="0"/>
                <w:sz w:val="24"/>
                <w:szCs w:val="24"/>
                <w:shd w:val="clear" w:color="auto" w:fill="auto"/>
                <w:lang w:val="ru-RU" w:eastAsia="ru-RU" w:bidi="ru-RU"/>
              </w:rPr>
              <w:t>&lt;12,5</w:t>
            </w:r>
          </w:p>
        </w:tc>
      </w:tr>
      <w:tr>
        <w:trPr>
          <w:trHeight w:val="605" w:hRule="exact"/>
        </w:trPr>
        <w:tc>
          <w:tcPr>
            <w:tcBorders>
              <w:top w:val="single" w:sz="4"/>
              <w:left w:val="single" w:sz="4"/>
            </w:tcBorders>
            <w:shd w:val="clear" w:color="auto" w:fill="auto"/>
            <w:vAlign w:val="bottom"/>
          </w:tcPr>
          <w:p>
            <w:pPr>
              <w:pStyle w:val="Style26"/>
              <w:keepNext w:val="0"/>
              <w:keepLines w:val="0"/>
              <w:widowControl w:val="0"/>
              <w:shd w:val="clear" w:color="auto" w:fill="auto"/>
              <w:tabs>
                <w:tab w:pos="2418" w:val="left"/>
                <w:tab w:pos="5130" w:val="left"/>
              </w:tabs>
              <w:bidi w:val="0"/>
              <w:spacing w:before="0" w:after="0" w:line="240" w:lineRule="auto"/>
              <w:ind w:left="0" w:right="0" w:firstLine="820"/>
              <w:jc w:val="left"/>
            </w:pPr>
            <w:r>
              <w:rPr>
                <w:color w:val="000000"/>
                <w:spacing w:val="0"/>
                <w:w w:val="100"/>
                <w:position w:val="0"/>
                <w:sz w:val="24"/>
                <w:szCs w:val="24"/>
                <w:shd w:val="clear" w:color="auto" w:fill="auto"/>
                <w:lang w:val="ru-RU" w:eastAsia="ru-RU" w:bidi="ru-RU"/>
              </w:rPr>
              <w:t>Диаметр</w:t>
              <w:tab/>
              <w:t>инструментального</w:t>
              <w:tab/>
              <w:t>канала</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видеоколоноскопа</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800"/>
              <w:jc w:val="left"/>
            </w:pPr>
            <w:r>
              <w:rPr>
                <w:color w:val="000000"/>
                <w:spacing w:val="0"/>
                <w:w w:val="100"/>
                <w:position w:val="0"/>
                <w:sz w:val="24"/>
                <w:szCs w:val="24"/>
                <w:shd w:val="clear" w:color="auto" w:fill="auto"/>
                <w:lang w:val="ru-RU" w:eastAsia="ru-RU" w:bidi="ru-RU"/>
              </w:rPr>
              <w:t>&gt;3,8</w:t>
            </w:r>
          </w:p>
        </w:tc>
      </w:tr>
      <w:tr>
        <w:trPr>
          <w:trHeight w:val="283"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820"/>
              <w:jc w:val="left"/>
            </w:pPr>
            <w:r>
              <w:rPr>
                <w:color w:val="000000"/>
                <w:spacing w:val="0"/>
                <w:w w:val="100"/>
                <w:position w:val="0"/>
                <w:sz w:val="24"/>
                <w:szCs w:val="24"/>
                <w:shd w:val="clear" w:color="auto" w:fill="auto"/>
                <w:lang w:val="ru-RU" w:eastAsia="ru-RU" w:bidi="ru-RU"/>
              </w:rPr>
              <w:t>Длина рабочей части видеоколоноскопа</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800"/>
              <w:jc w:val="left"/>
            </w:pPr>
            <w:r>
              <w:rPr>
                <w:color w:val="000000"/>
                <w:spacing w:val="0"/>
                <w:w w:val="100"/>
                <w:position w:val="0"/>
                <w:sz w:val="24"/>
                <w:szCs w:val="24"/>
                <w:shd w:val="clear" w:color="auto" w:fill="auto"/>
                <w:lang w:val="ru-RU" w:eastAsia="ru-RU" w:bidi="ru-RU"/>
              </w:rPr>
              <w:t>&gt;1700</w:t>
            </w:r>
          </w:p>
        </w:tc>
      </w:tr>
      <w:tr>
        <w:trPr>
          <w:trHeight w:val="293" w:hRule="exact"/>
        </w:trPr>
        <w:tc>
          <w:tcPr>
            <w:tcBorders>
              <w:top w:val="single" w:sz="4"/>
              <w:left w:val="single" w:sz="4"/>
              <w:bottom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820"/>
              <w:jc w:val="left"/>
            </w:pPr>
            <w:r>
              <w:rPr>
                <w:color w:val="000000"/>
                <w:spacing w:val="0"/>
                <w:w w:val="100"/>
                <w:position w:val="0"/>
                <w:sz w:val="24"/>
                <w:szCs w:val="24"/>
                <w:shd w:val="clear" w:color="auto" w:fill="auto"/>
                <w:lang w:val="ru-RU" w:eastAsia="ru-RU" w:bidi="ru-RU"/>
              </w:rPr>
              <w:t>Общая длина видеоколоноскопа</w:t>
            </w:r>
          </w:p>
        </w:tc>
        <w:tc>
          <w:tcPr>
            <w:tcBorders>
              <w:top w:val="single" w:sz="4"/>
              <w:left w:val="single" w:sz="4"/>
              <w:bottom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800"/>
              <w:jc w:val="left"/>
            </w:pPr>
            <w:r>
              <w:rPr>
                <w:color w:val="000000"/>
                <w:spacing w:val="0"/>
                <w:w w:val="100"/>
                <w:position w:val="0"/>
                <w:sz w:val="24"/>
                <w:szCs w:val="24"/>
                <w:shd w:val="clear" w:color="auto" w:fill="auto"/>
                <w:lang w:val="ru-RU" w:eastAsia="ru-RU" w:bidi="ru-RU"/>
              </w:rPr>
              <w:t>&gt;2016</w:t>
            </w:r>
          </w:p>
        </w:tc>
      </w:tr>
    </w:tbl>
    <w:p>
      <w:pPr>
        <w:pStyle w:val="Style24"/>
        <w:keepNext w:val="0"/>
        <w:keepLines w:val="0"/>
        <w:widowControl w:val="0"/>
        <w:shd w:val="clear" w:color="auto" w:fill="auto"/>
        <w:bidi w:val="0"/>
        <w:spacing w:before="0" w:after="0" w:line="240" w:lineRule="auto"/>
        <w:ind w:left="446" w:right="0" w:firstLine="0"/>
        <w:jc w:val="left"/>
      </w:pPr>
      <w:r>
        <w:rPr>
          <w:color w:val="000000"/>
          <w:spacing w:val="0"/>
          <w:w w:val="100"/>
          <w:position w:val="0"/>
          <w:sz w:val="24"/>
          <w:szCs w:val="24"/>
          <w:shd w:val="clear" w:color="auto" w:fill="auto"/>
          <w:lang w:val="ru-RU" w:eastAsia="ru-RU" w:bidi="ru-RU"/>
        </w:rPr>
        <w:t>При этом надлежащим исполнением требований ч. 1 ст. 33 Закона</w:t>
      </w:r>
    </w:p>
    <w:p>
      <w:pPr>
        <w:pStyle w:val="Style10"/>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о закупках должно являться наличие на рынке как минимум двух производителей, товар которых соответствует всем требованиям, установленным извещением. В ответ на запрос коммерческих предложений при обосновании НМЦК Заказчиком получены предложения трех хозяйствующих субъектов (ООО «ПРОФГРУПП», ООО «Иволга», ООО «Экомед») готовых исполнять контракт на условиях объявленной закупки. Согласно указанным коммерческим предложениям потенциальные поставщики готовы поставить системы эндоскопической визуализации НЭ-550 производителя 8опо8саре (Китай) и Реп1а\ ЕРК-ЕРКЙ8020с. В сравнительной таблице, приложенной Заказчиком в составе документов по закупке на этапе рассмотрения заявки для размещения закупки, Заказчиком изложен сравнительный анализ требований к характеристикам поставляемого товара с характеристики систем эндоскопической визуализации НЭ-550 производителя 8опо8саре (Китай) и Реп1а\ ЕРК-ЕРК48020с. Исходя из приведенной в данной таблице информации, обе предложенные к поставке системы эндокринной визуализации в полной мере удовлетворяют требованиям Заказчика. Таким образом, Заказчиком были соблюдены формальные требования</w:t>
      </w:r>
    </w:p>
    <w:p>
      <w:pPr>
        <w:pStyle w:val="Style10"/>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Закона о контрактной системе, а именно наличие на рынке как минимум двух производителей, товар которых соответствует всем требованиям, установленным извещением.</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5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закупках,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Правила использования).</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пп. «б» п. 2 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п. 4 Правил использования Заказчики обязаны применять информацию, включенную в позицию каталога в соответствии с пп.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5"/>
        </w:numPr>
        <w:shd w:val="clear" w:color="auto" w:fill="auto"/>
        <w:tabs>
          <w:tab w:pos="102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0"/>
        <w:keepNext w:val="0"/>
        <w:keepLines w:val="0"/>
        <w:widowControl w:val="0"/>
        <w:numPr>
          <w:ilvl w:val="0"/>
          <w:numId w:val="5"/>
        </w:numPr>
        <w:shd w:val="clear" w:color="auto" w:fill="auto"/>
        <w:tabs>
          <w:tab w:pos="10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5"/>
        </w:numPr>
        <w:shd w:val="clear" w:color="auto" w:fill="auto"/>
        <w:tabs>
          <w:tab w:pos="10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5 Правил использования Заказчик вправе указать в извещении об осуществлении 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о закупках, которые не предусмотрены в позиции каталога, за исключением случаев:</w:t>
      </w:r>
    </w:p>
    <w:p>
      <w:pPr>
        <w:pStyle w:val="Style10"/>
        <w:keepNext w:val="0"/>
        <w:keepLines w:val="0"/>
        <w:widowControl w:val="0"/>
        <w:numPr>
          <w:ilvl w:val="0"/>
          <w:numId w:val="7"/>
        </w:numPr>
        <w:shd w:val="clear" w:color="auto" w:fill="auto"/>
        <w:tabs>
          <w:tab w:pos="102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0"/>
        <w:keepNext w:val="0"/>
        <w:keepLines w:val="0"/>
        <w:widowControl w:val="0"/>
        <w:numPr>
          <w:ilvl w:val="0"/>
          <w:numId w:val="7"/>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Закона о закупках.</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6 Правил использования в случае предоставления дополнительной информации, предусмотренной п. 5 Правил использования,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7 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о закупках. При проведении предусмотренных Законом о закупках электронных процедур, закрытых электронных процедур характеристики объекта закупки, предусмотренные п. 1 ч. 1 ст. 33 Закона о закупках,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 1 ст. 42, п. 1 ч. 1 ст. 75 Закона о закупках соответственно.</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пп. «а», «д» п. 10 Правил формирования в позицию каталога включается:</w:t>
      </w:r>
    </w:p>
    <w:p>
      <w:pPr>
        <w:pStyle w:val="Style10"/>
        <w:keepNext w:val="0"/>
        <w:keepLines w:val="0"/>
        <w:widowControl w:val="0"/>
        <w:numPr>
          <w:ilvl w:val="0"/>
          <w:numId w:val="9"/>
        </w:numPr>
        <w:shd w:val="clear" w:color="auto" w:fill="auto"/>
        <w:tabs>
          <w:tab w:pos="976"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код позиции каталога, формируемый в соответствии с п. 12 настоящих Правил формирования;</w:t>
      </w:r>
    </w:p>
    <w:p>
      <w:pPr>
        <w:pStyle w:val="Style10"/>
        <w:keepNext w:val="0"/>
        <w:keepLines w:val="0"/>
        <w:widowControl w:val="0"/>
        <w:numPr>
          <w:ilvl w:val="0"/>
          <w:numId w:val="9"/>
        </w:numPr>
        <w:shd w:val="clear" w:color="auto" w:fill="auto"/>
        <w:tabs>
          <w:tab w:pos="1680"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справочная информация:</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коды, соответствующие товару, работе, услуге согласно российским и международным системам классификации, каталогизации (при наличии);</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 информация о типовых условиях контрактов, подлежащих применению при закупке товара, работы, услуги (при наличии);</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12 Правил формирования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1 ч. 2 ст. 42 Закона о закупках извещение об осуществлении закупки, если иное не предусмотрено Закона о закупках, должно содержать описание объекта закупки в соответствии со ст. 33 Закона о закупках.</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с п. 1, 2 ч. 1 ст. 33 Закона о закупках заказчик при описании в документации о закупке объекта закупки должен руководствоваться следующими правилами:</w:t>
      </w:r>
    </w:p>
    <w:p>
      <w:pPr>
        <w:pStyle w:val="Style10"/>
        <w:keepNext w:val="0"/>
        <w:keepLines w:val="0"/>
        <w:widowControl w:val="0"/>
        <w:numPr>
          <w:ilvl w:val="0"/>
          <w:numId w:val="11"/>
        </w:numPr>
        <w:shd w:val="clear" w:color="auto" w:fill="auto"/>
        <w:tabs>
          <w:tab w:pos="103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0"/>
        <w:keepNext w:val="0"/>
        <w:keepLines w:val="0"/>
        <w:widowControl w:val="0"/>
        <w:numPr>
          <w:ilvl w:val="0"/>
          <w:numId w:val="13"/>
        </w:numPr>
        <w:shd w:val="clear" w:color="auto" w:fill="auto"/>
        <w:tabs>
          <w:tab w:pos="102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0"/>
        <w:keepNext w:val="0"/>
        <w:keepLines w:val="0"/>
        <w:widowControl w:val="0"/>
        <w:numPr>
          <w:ilvl w:val="0"/>
          <w:numId w:val="13"/>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13"/>
        </w:numPr>
        <w:shd w:val="clear" w:color="auto" w:fill="auto"/>
        <w:tabs>
          <w:tab w:pos="103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13"/>
        </w:numPr>
        <w:shd w:val="clear" w:color="auto" w:fill="auto"/>
        <w:tabs>
          <w:tab w:pos="101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0"/>
        <w:keepNext w:val="0"/>
        <w:keepLines w:val="0"/>
        <w:widowControl w:val="0"/>
        <w:numPr>
          <w:ilvl w:val="0"/>
          <w:numId w:val="11"/>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отмечает,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извещению о проведении закупки объектом закупки является поставка медицинского оборудования - система эндоскопической визуализации, соответствующая позиции КТРУ 26.60.12.119-00000374. Описание и характеристики поставляемого товара указаны в структурированной форме извещения, приложении к извещению «Техническое задание».</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 в адрес Комиссии Уполномоченным органом была представлена сравнительная таблица товаров, которые соответствуют требованиям Технического задания: видеопроцессор ЕРК-18020с, РепТах (регистрационное удостоверение РЗН 2024/22052), устройство обработки изображений НО-550 (регистрационное удостоверение РЗН 2024/22910).</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Ознакомившись со сравнительной таблицей, регистрационным удостоверением № РЗН 2024/22910, а также предлагавшемуся к нему руководствам по эксплуатации, размещенными на официальном сайте Росздравнадзора в сети «Интернет»:</w:t>
      </w:r>
      <w:r>
        <w:fldChar w:fldCharType="begin"/>
      </w:r>
      <w:r>
        <w:rPr/>
        <w:instrText> HYPERLINK "https://roszdravnadzor.gov.ru/"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1111р^//го^хс1гаупас1хог.доу.ги</w:t>
      </w:r>
      <w:r>
        <w:fldChar w:fldCharType="end"/>
      </w:r>
      <w:r>
        <w:rPr>
          <w:color w:val="000000"/>
          <w:spacing w:val="0"/>
          <w:w w:val="100"/>
          <w:position w:val="0"/>
          <w:sz w:val="24"/>
          <w:szCs w:val="24"/>
          <w:shd w:val="clear" w:color="auto" w:fill="auto"/>
          <w:lang w:val="ru-RU" w:eastAsia="ru-RU" w:bidi="ru-RU"/>
        </w:rPr>
        <w:t>. Комиссия установила, что устройство обработки изображений НО-550 (производитель «Соноскейп Медикал Корп.», Китай) соответствует требованиям Технического задания, в частности:</w:t>
      </w:r>
    </w:p>
    <w:p>
      <w:pPr>
        <w:pStyle w:val="Style10"/>
        <w:keepNext w:val="0"/>
        <w:keepLines w:val="0"/>
        <w:widowControl w:val="0"/>
        <w:numPr>
          <w:ilvl w:val="0"/>
          <w:numId w:val="15"/>
        </w:numPr>
        <w:shd w:val="clear" w:color="auto" w:fill="auto"/>
        <w:tabs>
          <w:tab w:pos="127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типы поддерживаемых эндоскопов: видеогастроскопы, видеоколоноскопы, видеодуоденоскопы, видеобронхоскопы, ультразвуковые видеоэндоскопы (согласно стр. 3 руководству по эксплуатации НО-550 совместимо со следующими эндоскопами: видеогастроскопы 8опо8саре, в вариантах исполнения: ЕС-550, ЕС-550^, ЕС-500, ЕС-500^, ЕС5502, ЕС-Р550^ видеоколоноскопы 8опо8саре, в вариантах исполнения: ЕС-550, ЕС-550Т, ЕС-500^, ЕС-500ЕГ, ЕС550ЕЯ, ЕС-550Ц ЕС-5502, ЕС-500Т, ЕС-Р5508, ЕС-Р5508Т, ЕС-Р560, ЕС-Р560Т; видеобронхоскопы 8опо8саре, в вариантах исполнения: ЕВ-5Н20, ЕВ-5Т28, ЕВ-500; видеогастроскопы ультразвуковые 8опо8саре, в вариантах исполнения: ЕС-ЦК5, ЕС-ИС5Т; видеодуоденоскоп 8опо8саре, вариантах исполнения: Е^-5СТ.</w:t>
      </w:r>
    </w:p>
    <w:p>
      <w:pPr>
        <w:pStyle w:val="Style10"/>
        <w:keepNext w:val="0"/>
        <w:keepLines w:val="0"/>
        <w:widowControl w:val="0"/>
        <w:numPr>
          <w:ilvl w:val="0"/>
          <w:numId w:val="15"/>
        </w:numPr>
        <w:shd w:val="clear" w:color="auto" w:fill="auto"/>
        <w:tabs>
          <w:tab w:pos="127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функции видеопроцессора: функция усиления контраста (стр. 31 руководству по эксплуатации НО-550), функция записи «стоп-кадра» (стр. 56 руководству по эксплуатации НО- 550), регулировка баланса белого цвета (стр. 30 руководству по эксплуатации НО-550);</w:t>
      </w:r>
    </w:p>
    <w:p>
      <w:pPr>
        <w:pStyle w:val="Style10"/>
        <w:keepNext w:val="0"/>
        <w:keepLines w:val="0"/>
        <w:widowControl w:val="0"/>
        <w:numPr>
          <w:ilvl w:val="0"/>
          <w:numId w:val="15"/>
        </w:numPr>
        <w:shd w:val="clear" w:color="auto" w:fill="auto"/>
        <w:tabs>
          <w:tab w:pos="127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количество режимов усиления контраста: не менее 3 (стр. 31 руководству по эксплуатации НЭ-550);</w:t>
      </w:r>
    </w:p>
    <w:p>
      <w:pPr>
        <w:pStyle w:val="Style10"/>
        <w:keepNext w:val="0"/>
        <w:keepLines w:val="0"/>
        <w:widowControl w:val="0"/>
        <w:numPr>
          <w:ilvl w:val="0"/>
          <w:numId w:val="15"/>
        </w:numPr>
        <w:shd w:val="clear" w:color="auto" w:fill="auto"/>
        <w:tabs>
          <w:tab w:pos="127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управление: управление функциями процессора через сенсорный экран /сенсорные кнопки (стр. 5 руководству по эксплуатации НЭ-550);</w:t>
      </w:r>
    </w:p>
    <w:p>
      <w:pPr>
        <w:pStyle w:val="Style10"/>
        <w:keepNext w:val="0"/>
        <w:keepLines w:val="0"/>
        <w:widowControl w:val="0"/>
        <w:numPr>
          <w:ilvl w:val="0"/>
          <w:numId w:val="15"/>
        </w:numPr>
        <w:shd w:val="clear" w:color="auto" w:fill="auto"/>
        <w:tabs>
          <w:tab w:pos="127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источник света эндоскопический: в едином корпусе с видеопроцессором или в отдельном корпусе (стр. 15 руководству по эксплуатации НО-550);</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и т.д.</w:t>
      </w:r>
      <w:r>
        <w:br w:type="page"/>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Также в руководстве по эксплуатации монитора медицинский высокой четкости указаны характеристики, соответствующие требованиям Технического задания, в частности:</w:t>
      </w:r>
    </w:p>
    <w:p>
      <w:pPr>
        <w:pStyle w:val="Style10"/>
        <w:keepNext w:val="0"/>
        <w:keepLines w:val="0"/>
        <w:widowControl w:val="0"/>
        <w:numPr>
          <w:ilvl w:val="0"/>
          <w:numId w:val="17"/>
        </w:numPr>
        <w:shd w:val="clear" w:color="auto" w:fill="auto"/>
        <w:tabs>
          <w:tab w:pos="109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тип монитора: жидкокристаллический цветной дисплей (стр. 63 руководства по эксплуатации монитора медицинский высокой четкости);</w:t>
      </w:r>
    </w:p>
    <w:p>
      <w:pPr>
        <w:pStyle w:val="Style10"/>
        <w:keepNext w:val="0"/>
        <w:keepLines w:val="0"/>
        <w:widowControl w:val="0"/>
        <w:numPr>
          <w:ilvl w:val="0"/>
          <w:numId w:val="17"/>
        </w:numPr>
        <w:shd w:val="clear" w:color="auto" w:fill="auto"/>
        <w:tabs>
          <w:tab w:pos="109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угол поля зрения монитора по вертикали/горизонтали: не менее 170 (стр. 64 руководства по эксплуатации монитора медицинский высокой четкости);</w:t>
      </w:r>
    </w:p>
    <w:p>
      <w:pPr>
        <w:pStyle w:val="Style10"/>
        <w:keepNext w:val="0"/>
        <w:keepLines w:val="0"/>
        <w:widowControl w:val="0"/>
        <w:numPr>
          <w:ilvl w:val="0"/>
          <w:numId w:val="17"/>
        </w:numPr>
        <w:shd w:val="clear" w:color="auto" w:fill="auto"/>
        <w:tabs>
          <w:tab w:pos="109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контрастность монитора: не менее 1400:1 (стр. 64 руководства по эксплуатации монитора медицинский высокой четкости);</w:t>
      </w:r>
    </w:p>
    <w:p>
      <w:pPr>
        <w:pStyle w:val="Style10"/>
        <w:keepNext w:val="0"/>
        <w:keepLines w:val="0"/>
        <w:widowControl w:val="0"/>
        <w:shd w:val="clear" w:color="auto" w:fill="auto"/>
        <w:bidi w:val="0"/>
        <w:spacing w:before="0" w:after="60"/>
        <w:ind w:left="0" w:right="0" w:firstLine="720"/>
        <w:jc w:val="both"/>
      </w:pPr>
      <w:r>
        <w:rPr>
          <w:color w:val="000000"/>
          <w:spacing w:val="0"/>
          <w:w w:val="100"/>
          <w:position w:val="0"/>
          <w:sz w:val="24"/>
          <w:szCs w:val="24"/>
          <w:shd w:val="clear" w:color="auto" w:fill="auto"/>
          <w:lang w:val="ru-RU" w:eastAsia="ru-RU" w:bidi="ru-RU"/>
        </w:rPr>
        <w:t>и т.д.</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указанного выше, исходя из информации, содержащейся в руководствах по эксплуатации к регистрационному удостоверению № РЗН 2024/22910, а также с учетом того, что Заявителем не оспаривается соответствие РепТах ЕРК-ЕРК48020с требованиям Технического задания, Комиссия приходит к выводу, что требованиям извещения соответствуют товары как минимум двух производителей. Следовательно, нарушений Закона о закупках Заказчиком, Уполномоченным органом не допущено. Довод признан необоснованным.</w:t>
      </w:r>
    </w:p>
    <w:p>
      <w:pPr>
        <w:pStyle w:val="Style10"/>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7"/>
        <w:keepNext/>
        <w:keepLines/>
        <w:widowControl w:val="0"/>
        <w:shd w:val="clear" w:color="auto" w:fill="auto"/>
        <w:bidi w:val="0"/>
        <w:spacing w:before="0" w:after="0" w:line="276" w:lineRule="auto"/>
        <w:ind w:left="0" w:right="0" w:firstLine="0"/>
        <w:jc w:val="center"/>
      </w:pPr>
      <w:bookmarkStart w:id="12" w:name="bookmark12"/>
      <w:r>
        <w:rPr>
          <w:color w:val="000000"/>
          <w:spacing w:val="0"/>
          <w:w w:val="100"/>
          <w:position w:val="0"/>
          <w:sz w:val="24"/>
          <w:szCs w:val="24"/>
          <w:shd w:val="clear" w:color="auto" w:fill="auto"/>
          <w:lang w:val="ru-RU" w:eastAsia="ru-RU" w:bidi="ru-RU"/>
        </w:rPr>
        <w:t>РЕШИЛА:</w:t>
      </w:r>
      <w:bookmarkEnd w:id="12"/>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Признать жалобу ООО «Ренессанс-Мед» на действия ГБУЗ ПК «Городская клиническая больница № 2 им. Федора Христофоровича Граля», Министерства по регулированию контрактной системы в сфере закупок Пермского края при проведении электронного аукциона на поставка медицинского оборудования - система эндоскопической визуализации (изв.№ 0156200009924001087) необоснованной.</w:t>
      </w:r>
    </w:p>
    <w:p>
      <w:pPr>
        <w:pStyle w:val="Style10"/>
        <w:keepNext w:val="0"/>
        <w:keepLines w:val="0"/>
        <w:widowControl w:val="0"/>
        <w:shd w:val="clear" w:color="auto" w:fill="auto"/>
        <w:bidi w:val="0"/>
        <w:spacing w:before="0" w:after="0"/>
        <w:ind w:left="0" w:right="0" w:firstLine="720"/>
        <w:jc w:val="both"/>
      </w:pPr>
      <w:r>
        <w:rPr>
          <w:i/>
          <w:iCs/>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7"/>
          <w:footerReference w:type="first" r:id="rId8"/>
          <w:footnotePr>
            <w:pos w:val="pageBottom"/>
            <w:numFmt w:val="decimal"/>
            <w:numRestart w:val="continuous"/>
          </w:footnotePr>
          <w:pgSz w:w="11900" w:h="16840"/>
          <w:pgMar w:top="961" w:right="540" w:bottom="1183" w:left="1102" w:header="0" w:footer="3" w:gutter="0"/>
          <w:pgNumType w:start="1"/>
          <w:cols w:space="720"/>
          <w:noEndnote/>
          <w:titlePg/>
          <w:rtlGutter w:val="0"/>
          <w:docGrid w:linePitch="360"/>
        </w:sectPr>
      </w:pPr>
      <w:r>
        <mc:AlternateContent>
          <mc:Choice Requires="wps">
            <w:drawing>
              <wp:anchor distT="0" distB="393065" distL="0" distR="0" simplePos="0" relativeHeight="125829383" behindDoc="0" locked="0" layoutInCell="1" allowOverlap="1">
                <wp:simplePos x="0" y="0"/>
                <wp:positionH relativeFrom="page">
                  <wp:posOffset>737870</wp:posOffset>
                </wp:positionH>
                <wp:positionV relativeFrom="paragraph">
                  <wp:posOffset>0</wp:posOffset>
                </wp:positionV>
                <wp:extent cx="1667510" cy="213360"/>
                <wp:wrapTopAndBottom/>
                <wp:docPr id="11" name="Shape 11"/>
                <a:graphic xmlns:a="http://schemas.openxmlformats.org/drawingml/2006/main">
                  <a:graphicData uri="http://schemas.microsoft.com/office/word/2010/wordprocessingShape">
                    <wps:wsp>
                      <wps:cNvSpPr txBox="1"/>
                      <wps:spPr>
                        <a:xfrm>
                          <a:ext cx="1667510" cy="21336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100000000000001pt;margin-top:0;width:131.30000000000001pt;height:16.800000000000001pt;z-index:-125829370;mso-wrap-distance-left:0;mso-wrap-distance-right:0;mso-wrap-distance-bottom:30.94999999999999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73025" distB="0" distL="0" distR="1786255" simplePos="0" relativeHeight="125829385" behindDoc="0" locked="0" layoutInCell="1" allowOverlap="1">
            <wp:simplePos x="0" y="0"/>
            <wp:positionH relativeFrom="page">
              <wp:posOffset>2658110</wp:posOffset>
            </wp:positionH>
            <wp:positionV relativeFrom="paragraph">
              <wp:posOffset>73025</wp:posOffset>
            </wp:positionV>
            <wp:extent cx="353695" cy="53657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3115310</wp:posOffset>
                </wp:positionH>
                <wp:positionV relativeFrom="paragraph">
                  <wp:posOffset>475615</wp:posOffset>
                </wp:positionV>
                <wp:extent cx="1280160" cy="100330"/>
                <wp:wrapNone/>
                <wp:docPr id="15" name="Shape 1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AEAEA"/>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30000000000001pt;margin-top:37.450000000000003pt;width:100.8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AEAEA"/>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3072765</wp:posOffset>
                </wp:positionH>
                <wp:positionV relativeFrom="paragraph">
                  <wp:posOffset>161290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1.95000000000002pt;margin-top:12.700000000000001pt;width:135.59999999999999pt;height:20.15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13360" distB="167640" distL="0" distR="0" simplePos="0" relativeHeight="125829386" behindDoc="0" locked="0" layoutInCell="1" allowOverlap="1">
                <wp:simplePos x="0" y="0"/>
                <wp:positionH relativeFrom="page">
                  <wp:posOffset>6099175</wp:posOffset>
                </wp:positionH>
                <wp:positionV relativeFrom="paragraph">
                  <wp:posOffset>213360</wp:posOffset>
                </wp:positionV>
                <wp:extent cx="1088390" cy="225425"/>
                <wp:wrapTopAndBottom/>
                <wp:docPr id="19" name="Shape 19"/>
                <a:graphic xmlns:a="http://schemas.openxmlformats.org/drawingml/2006/main">
                  <a:graphicData uri="http://schemas.microsoft.com/office/word/2010/wordprocessingShape">
                    <wps:wsp>
                      <wps:cNvSpPr txBox="1"/>
                      <wps:spPr>
                        <a:xfrm>
                          <a:ext cx="1088390" cy="22542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wps:txbx>
                      <wps:bodyPr wrap="none" lIns="0" tIns="0" rIns="0" bIns="0">
                        <a:noAutoFit/>
                      </wps:bodyPr>
                    </wps:wsp>
                  </a:graphicData>
                </a:graphic>
              </wp:anchor>
            </w:drawing>
          </mc:Choice>
          <mc:Fallback>
            <w:pict>
              <v:shape id="_x0000_s1045" type="#_x0000_t202" style="position:absolute;margin-left:480.25pt;margin-top:16.800000000000001pt;width:85.700000000000003pt;height:17.75pt;z-index:-125829367;mso-wrap-distance-left:0;mso-wrap-distance-top:16.800000000000001pt;mso-wrap-distance-right:0;mso-wrap-distance-bottom:13.2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Субботина Екатерина Сергеевна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О0СОС822В29790В5ВЗЕ4ВЕА073РВ878651</w:t>
      </w:r>
    </w:p>
    <w:p>
      <w:pPr>
        <w:pStyle w:val="Style30"/>
        <w:keepNext w:val="0"/>
        <w:keepLines w:val="0"/>
        <w:widowControl w:val="0"/>
        <w:shd w:val="clear" w:color="auto" w:fill="auto"/>
        <w:bidi w:val="0"/>
        <w:spacing w:before="0" w:after="80" w:line="240" w:lineRule="auto"/>
        <w:ind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76767"/>
          <w:spacing w:val="0"/>
          <w:w w:val="100"/>
          <w:position w:val="0"/>
          <w:shd w:val="clear" w:color="auto" w:fill="auto"/>
          <w:lang w:val="ru-RU" w:eastAsia="ru-RU" w:bidi="ru-RU"/>
        </w:rPr>
        <w:t xml:space="preserve">19.02.2024 </w:t>
      </w:r>
      <w:r>
        <w:rPr>
          <w:color w:val="878787"/>
          <w:spacing w:val="0"/>
          <w:w w:val="100"/>
          <w:position w:val="0"/>
          <w:shd w:val="clear" w:color="auto" w:fill="auto"/>
          <w:lang w:val="ru-RU" w:eastAsia="ru-RU" w:bidi="ru-RU"/>
        </w:rPr>
        <w:t xml:space="preserve">по </w:t>
      </w:r>
      <w:r>
        <w:rPr>
          <w:color w:val="676767"/>
          <w:spacing w:val="0"/>
          <w:w w:val="100"/>
          <w:position w:val="0"/>
          <w:shd w:val="clear" w:color="auto" w:fill="auto"/>
          <w:lang w:val="ru-RU" w:eastAsia="ru-RU" w:bidi="ru-RU"/>
        </w:rPr>
        <w:t>14.05.2025</w:t>
      </w:r>
    </w:p>
    <w:p>
      <w:pPr>
        <w:pStyle w:val="Style10"/>
        <w:keepNext w:val="0"/>
        <w:keepLines w:val="0"/>
        <w:widowControl w:val="0"/>
        <w:shd w:val="clear" w:color="auto" w:fill="auto"/>
        <w:bidi w:val="0"/>
        <w:spacing w:before="0" w:after="80" w:line="240" w:lineRule="auto"/>
        <w:ind w:left="0" w:right="0" w:firstLine="0"/>
        <w:jc w:val="left"/>
      </w:pPr>
      <w:r>
        <w:rPr>
          <w:b/>
          <w:bCs/>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8" behindDoc="0" locked="0" layoutInCell="1" allowOverlap="1">
            <wp:simplePos x="0" y="0"/>
            <wp:positionH relativeFrom="page">
              <wp:posOffset>2658110</wp:posOffset>
            </wp:positionH>
            <wp:positionV relativeFrom="paragraph">
              <wp:posOffset>63500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3115310</wp:posOffset>
                </wp:positionH>
                <wp:positionV relativeFrom="paragraph">
                  <wp:posOffset>462915</wp:posOffset>
                </wp:positionV>
                <wp:extent cx="1286510" cy="103505"/>
                <wp:wrapNone/>
                <wp:docPr id="23" name="Shape 23"/>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AEAEA"/>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30000000000001pt;margin-top:36.450000000000003pt;width:101.3pt;height:8.1500000000000004pt;z-index:251657733;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AEAEA"/>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3072765</wp:posOffset>
                </wp:positionH>
                <wp:positionV relativeFrom="paragraph">
                  <wp:posOffset>151765</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1.95000000000002pt;margin-top:11.950000000000001pt;width:135.59999999999999pt;height:20.15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b/>
          <w:bCs/>
          <w:color w:val="000000"/>
          <w:spacing w:val="0"/>
          <w:w w:val="100"/>
          <w:position w:val="0"/>
          <w:sz w:val="24"/>
          <w:szCs w:val="24"/>
          <w:shd w:val="clear" w:color="auto" w:fill="auto"/>
          <w:lang w:val="ru-RU" w:eastAsia="ru-RU" w:bidi="ru-RU"/>
        </w:rPr>
        <w:t>О.В. Лыкова</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232323"/>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Лыкова Ольга Вадимовна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0085АЕ8ЕА96629Е049408916Е61С500ВВЗ</w:t>
      </w:r>
    </w:p>
    <w:p>
      <w:pPr>
        <w:pStyle w:val="Style30"/>
        <w:keepNext w:val="0"/>
        <w:keepLines w:val="0"/>
        <w:widowControl w:val="0"/>
        <w:shd w:val="clear" w:color="auto" w:fill="auto"/>
        <w:bidi w:val="0"/>
        <w:spacing w:before="0" w:after="32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30.08.2023 </w:t>
      </w:r>
      <w:r>
        <w:rPr>
          <w:color w:val="87878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22.11.2024</w:t>
      </w:r>
    </w:p>
    <w:p>
      <w:pPr>
        <w:pStyle w:val="Style17"/>
        <w:keepNext/>
        <w:keepLines/>
        <w:widowControl w:val="0"/>
        <w:shd w:val="clear" w:color="auto" w:fill="auto"/>
        <w:bidi w:val="0"/>
        <w:spacing w:before="0" w:after="680" w:line="240" w:lineRule="auto"/>
        <w:ind w:left="0" w:right="0" w:firstLine="0"/>
        <w:jc w:val="right"/>
      </w:pPr>
      <w:r>
        <w:drawing>
          <wp:anchor distT="0" distB="0" distL="114300" distR="1900555" simplePos="0" relativeHeight="125829389" behindDoc="0" locked="0" layoutInCell="1" allowOverlap="1">
            <wp:simplePos x="0" y="0"/>
            <wp:positionH relativeFrom="page">
              <wp:posOffset>2658110</wp:posOffset>
            </wp:positionH>
            <wp:positionV relativeFrom="paragraph">
              <wp:posOffset>63500</wp:posOffset>
            </wp:positionV>
            <wp:extent cx="353695" cy="536575"/>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3115310</wp:posOffset>
                </wp:positionH>
                <wp:positionV relativeFrom="paragraph">
                  <wp:posOffset>462915</wp:posOffset>
                </wp:positionV>
                <wp:extent cx="1286510" cy="103505"/>
                <wp:wrapNone/>
                <wp:docPr id="29" name="Shape 29"/>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AEAEA"/>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45.30000000000001pt;margin-top:36.450000000000003pt;width:101.3pt;height:8.1500000000000004pt;z-index:251657737;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AEAEA"/>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3072765</wp:posOffset>
                </wp:positionH>
                <wp:positionV relativeFrom="paragraph">
                  <wp:posOffset>151765</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1.95000000000002pt;margin-top:11.950000000000001pt;width:135.59999999999999pt;height:20.150000000000002pt;z-index:25165773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bookmarkStart w:id="14" w:name="bookmark14"/>
      <w:r>
        <w:rPr>
          <w:color w:val="000000"/>
          <w:spacing w:val="0"/>
          <w:w w:val="100"/>
          <w:position w:val="0"/>
          <w:sz w:val="24"/>
          <w:szCs w:val="24"/>
          <w:shd w:val="clear" w:color="auto" w:fill="auto"/>
          <w:lang w:val="ru-RU" w:eastAsia="ru-RU" w:bidi="ru-RU"/>
        </w:rPr>
        <w:t>М.А. Журавлев</w:t>
      </w:r>
      <w:bookmarkEnd w:id="14"/>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Журавлев Михаил Алексеевич</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08В5Е871В9ЕРЮ2887ЕР4ВА36ОС17А75</w:t>
      </w:r>
    </w:p>
    <w:p>
      <w:pPr>
        <w:pStyle w:val="Style30"/>
        <w:keepNext w:val="0"/>
        <w:keepLines w:val="0"/>
        <w:widowControl w:val="0"/>
        <w:shd w:val="clear" w:color="auto" w:fill="auto"/>
        <w:bidi w:val="0"/>
        <w:spacing w:before="0" w:after="54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color w:val="676767"/>
          <w:spacing w:val="0"/>
          <w:w w:val="100"/>
          <w:position w:val="0"/>
          <w:shd w:val="clear" w:color="auto" w:fill="auto"/>
          <w:lang w:val="ru-RU" w:eastAsia="ru-RU" w:bidi="ru-RU"/>
        </w:rPr>
        <w:t>31</w:t>
      </w:r>
      <w:r>
        <w:rPr>
          <w:spacing w:val="0"/>
          <w:w w:val="100"/>
          <w:position w:val="0"/>
          <w:shd w:val="clear" w:color="auto" w:fill="auto"/>
          <w:lang w:val="ru-RU" w:eastAsia="ru-RU" w:bidi="ru-RU"/>
        </w:rPr>
        <w:t xml:space="preserve">.07.2024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24.10.2025</w:t>
      </w:r>
    </w:p>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Исп.Журавлев М.А. тел.8(342)235-12-89</w:t>
      </w:r>
    </w:p>
    <w:sectPr>
      <w:footnotePr>
        <w:pos w:val="pageBottom"/>
        <w:numFmt w:val="decimal"/>
        <w:numRestart w:val="continuous"/>
      </w:footnotePr>
      <w:type w:val="continuous"/>
      <w:pgSz w:w="11900" w:h="16840"/>
      <w:pgMar w:top="1110" w:right="541" w:bottom="103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10005695</wp:posOffset>
              </wp:positionV>
              <wp:extent cx="713105" cy="100330"/>
              <wp:wrapNone/>
              <wp:docPr id="7" name="Shape 7"/>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2024-11355</w:t>
                          </w:r>
                        </w:p>
                      </w:txbxContent>
                    </wps:txbx>
                    <wps:bodyPr wrap="none" lIns="0" tIns="0" rIns="0" bIns="0">
                      <a:spAutoFit/>
                    </wps:bodyPr>
                  </wps:wsp>
                </a:graphicData>
              </a:graphic>
            </wp:anchor>
          </w:drawing>
        </mc:Choice>
        <mc:Fallback>
          <w:pict>
            <v:shape id="_x0000_s1033" type="#_x0000_t202" style="position:absolute;margin-left:56.899999999999999pt;margin-top:787.85000000000002pt;width:56.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2024-11355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10005695</wp:posOffset>
              </wp:positionV>
              <wp:extent cx="713105" cy="100330"/>
              <wp:wrapNone/>
              <wp:docPr id="9" name="Shape 9"/>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2024-11355</w:t>
                          </w:r>
                        </w:p>
                      </w:txbxContent>
                    </wps:txbx>
                    <wps:bodyPr wrap="none" lIns="0" tIns="0" rIns="0" bIns="0">
                      <a:spAutoFit/>
                    </wps:bodyPr>
                  </wps:wsp>
                </a:graphicData>
              </a:graphic>
            </wp:anchor>
          </w:drawing>
        </mc:Choice>
        <mc:Fallback>
          <w:pict>
            <v:shape id="_x0000_s1035" type="#_x0000_t202" style="position:absolute;margin-left:57.25pt;margin-top:787.85000000000002pt;width:56.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2024-11355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8">
    <w:name w:val="Основной текст (5)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4">
    <w:name w:val="Подпись к картинке_"/>
    <w:basedOn w:val="DefaultParagraphFont"/>
    <w:link w:val="Style13"/>
    <w:rPr>
      <w:rFonts w:ascii="Times New Roman" w:eastAsia="Times New Roman" w:hAnsi="Times New Roman" w:cs="Times New Roman"/>
      <w:b/>
      <w:bCs/>
      <w:i w:val="0"/>
      <w:iCs w:val="0"/>
      <w:smallCaps w:val="0"/>
      <w:strike w:val="0"/>
      <w:color w:val="232323"/>
      <w:sz w:val="11"/>
      <w:szCs w:val="11"/>
      <w:u w:val="none"/>
    </w:rPr>
  </w:style>
  <w:style w:type="character" w:customStyle="1" w:styleId="CharStyle18">
    <w:name w:val="Заголовок №2_"/>
    <w:basedOn w:val="DefaultParagraphFont"/>
    <w:link w:val="Style17"/>
    <w:rPr>
      <w:rFonts w:ascii="Times New Roman" w:eastAsia="Times New Roman" w:hAnsi="Times New Roman" w:cs="Times New Roman"/>
      <w:b/>
      <w:bCs/>
      <w:i w:val="0"/>
      <w:iCs w:val="0"/>
      <w:smallCaps w:val="0"/>
      <w:strike w:val="0"/>
      <w:u w:val="none"/>
    </w:rPr>
  </w:style>
  <w:style w:type="character" w:customStyle="1" w:styleId="CharStyle20">
    <w:name w:val="Колонтитул (2)_"/>
    <w:basedOn w:val="DefaultParagraphFont"/>
    <w:link w:val="Style19"/>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50"/>
      <w:szCs w:val="50"/>
      <w:u w:val="none"/>
    </w:rPr>
  </w:style>
  <w:style w:type="character" w:customStyle="1" w:styleId="CharStyle25">
    <w:name w:val="Подпись к таблице_"/>
    <w:basedOn w:val="DefaultParagraphFont"/>
    <w:link w:val="Style24"/>
    <w:rPr>
      <w:rFonts w:ascii="Times New Roman" w:eastAsia="Times New Roman" w:hAnsi="Times New Roman" w:cs="Times New Roman"/>
      <w:b w:val="0"/>
      <w:bCs w:val="0"/>
      <w:i w:val="0"/>
      <w:iCs w:val="0"/>
      <w:smallCaps w:val="0"/>
      <w:strike w:val="0"/>
      <w:u w:val="none"/>
    </w:rPr>
  </w:style>
  <w:style w:type="character" w:customStyle="1" w:styleId="CharStyle27">
    <w:name w:val="Другое_"/>
    <w:basedOn w:val="DefaultParagraphFont"/>
    <w:link w:val="Style26"/>
    <w:rPr>
      <w:rFonts w:ascii="Times New Roman" w:eastAsia="Times New Roman" w:hAnsi="Times New Roman" w:cs="Times New Roman"/>
      <w:b w:val="0"/>
      <w:bCs w:val="0"/>
      <w:i w:val="0"/>
      <w:iCs w:val="0"/>
      <w:smallCaps w:val="0"/>
      <w:strike w:val="0"/>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484848"/>
      <w:sz w:val="12"/>
      <w:szCs w:val="12"/>
      <w:u w:val="none"/>
    </w:rPr>
  </w:style>
  <w:style w:type="paragraph" w:customStyle="1" w:styleId="Style2">
    <w:name w:val="Основной текст (3)"/>
    <w:basedOn w:val="Normal"/>
    <w:link w:val="CharStyle3"/>
    <w:pPr>
      <w:widowControl w:val="0"/>
      <w:shd w:val="clear" w:color="auto" w:fill="auto"/>
      <w:spacing w:after="30" w:line="269"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Основной текст (4)"/>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7">
    <w:name w:val="Основной текст (5)"/>
    <w:basedOn w:val="Normal"/>
    <w:link w:val="CharStyle8"/>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0">
    <w:name w:val="Основной текст"/>
    <w:basedOn w:val="Normal"/>
    <w:link w:val="CharStyle11"/>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Подпись к картинке"/>
    <w:basedOn w:val="Normal"/>
    <w:link w:val="CharStyle14"/>
    <w:pPr>
      <w:widowControl w:val="0"/>
      <w:shd w:val="clear" w:color="auto" w:fill="auto"/>
    </w:pPr>
    <w:rPr>
      <w:rFonts w:ascii="Times New Roman" w:eastAsia="Times New Roman" w:hAnsi="Times New Roman" w:cs="Times New Roman"/>
      <w:b/>
      <w:bCs/>
      <w:i w:val="0"/>
      <w:iCs w:val="0"/>
      <w:smallCaps w:val="0"/>
      <w:strike w:val="0"/>
      <w:color w:val="232323"/>
      <w:sz w:val="11"/>
      <w:szCs w:val="11"/>
      <w:u w:val="none"/>
    </w:rPr>
  </w:style>
  <w:style w:type="paragraph" w:customStyle="1" w:styleId="Style17">
    <w:name w:val="Заголовок №2"/>
    <w:basedOn w:val="Normal"/>
    <w:link w:val="CharStyle18"/>
    <w:pPr>
      <w:widowControl w:val="0"/>
      <w:shd w:val="clear" w:color="auto" w:fill="auto"/>
      <w:outlineLvl w:val="1"/>
    </w:pPr>
    <w:rPr>
      <w:rFonts w:ascii="Times New Roman" w:eastAsia="Times New Roman" w:hAnsi="Times New Roman" w:cs="Times New Roman"/>
      <w:b/>
      <w:bCs/>
      <w:i w:val="0"/>
      <w:iCs w:val="0"/>
      <w:smallCaps w:val="0"/>
      <w:strike w:val="0"/>
      <w:u w:val="none"/>
    </w:rPr>
  </w:style>
  <w:style w:type="paragraph" w:customStyle="1" w:styleId="Style19">
    <w:name w:val="Колонтитул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Заголовок №1"/>
    <w:basedOn w:val="Normal"/>
    <w:link w:val="CharStyle23"/>
    <w:pPr>
      <w:widowControl w:val="0"/>
      <w:shd w:val="clear" w:color="auto" w:fill="auto"/>
      <w:spacing w:after="240"/>
      <w:outlineLvl w:val="0"/>
    </w:pPr>
    <w:rPr>
      <w:rFonts w:ascii="Arial" w:eastAsia="Arial" w:hAnsi="Arial" w:cs="Arial"/>
      <w:b w:val="0"/>
      <w:bCs w:val="0"/>
      <w:i w:val="0"/>
      <w:iCs w:val="0"/>
      <w:smallCaps w:val="0"/>
      <w:strike w:val="0"/>
      <w:sz w:val="50"/>
      <w:szCs w:val="50"/>
      <w:u w:val="none"/>
    </w:rPr>
  </w:style>
  <w:style w:type="paragraph" w:customStyle="1" w:styleId="Style24">
    <w:name w:val="Подпись к таблице"/>
    <w:basedOn w:val="Normal"/>
    <w:link w:val="CharStyle25"/>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26">
    <w:name w:val="Другое"/>
    <w:basedOn w:val="Normal"/>
    <w:link w:val="CharStyle27"/>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30">
    <w:name w:val="Основной текст (2)"/>
    <w:basedOn w:val="Normal"/>
    <w:link w:val="CharStyle31"/>
    <w:pPr>
      <w:widowControl w:val="0"/>
      <w:shd w:val="clear" w:color="auto" w:fill="auto"/>
      <w:ind w:left="3100"/>
    </w:pPr>
    <w:rPr>
      <w:rFonts w:ascii="Arial" w:eastAsia="Arial" w:hAnsi="Arial" w:cs="Arial"/>
      <w:b w:val="0"/>
      <w:bCs w:val="0"/>
      <w:i w:val="0"/>
      <w:iCs w:val="0"/>
      <w:smallCaps w:val="0"/>
      <w:strike w:val="0"/>
      <w:color w:val="484848"/>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