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1770380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045210" distL="312420" distR="264160" simplePos="0" relativeHeight="125829379" behindDoc="0" locked="0" layoutInCell="1" allowOverlap="1">
                <wp:simplePos x="0" y="0"/>
                <wp:positionH relativeFrom="page">
                  <wp:posOffset>916940</wp:posOffset>
                </wp:positionH>
                <wp:positionV relativeFrom="paragraph">
                  <wp:posOffset>728980</wp:posOffset>
                </wp:positionV>
                <wp:extent cx="2249170" cy="1499870"/>
                <wp:wrapSquare wrapText="right"/>
                <wp:docPr id="3" name="Shape 3"/>
                <a:graphic xmlns:a="http://schemas.openxmlformats.org/drawingml/2006/main">
                  <a:graphicData uri="http://schemas.microsoft.com/office/word/2010/wordprocessingShape">
                    <wps:wsp>
                      <wps:cNvSpPr txBox="1"/>
                      <wps:spPr>
                        <a:xfrm>
                          <a:ext cx="2249170" cy="14998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200000000000003pt;margin-top:57.399999999999999pt;width:177.09999999999999pt;height:118.10000000000001pt;z-index:-125829374;mso-wrap-distance-left:24.600000000000001pt;mso-wrap-distance-top:56.399999999999999pt;mso-wrap-distance-right:20.800000000000001pt;mso-wrap-distance-bottom:82.299999999999997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txbxContent>
                </v:textbox>
                <w10:wrap type="square" side="right" anchorx="page"/>
              </v:shape>
            </w:pict>
          </mc:Fallback>
        </mc:AlternateContent>
      </w:r>
      <w:r>
        <w:drawing>
          <wp:anchor distT="2270760" distB="792480" distL="181610" distR="1525905" simplePos="0" relativeHeight="125829381" behindDoc="0" locked="0" layoutInCell="1" allowOverlap="1">
            <wp:simplePos x="0" y="0"/>
            <wp:positionH relativeFrom="page">
              <wp:posOffset>786130</wp:posOffset>
            </wp:positionH>
            <wp:positionV relativeFrom="paragraph">
              <wp:posOffset>2283460</wp:posOffset>
            </wp:positionV>
            <wp:extent cx="1121410" cy="20129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718820</wp:posOffset>
                </wp:positionH>
                <wp:positionV relativeFrom="paragraph">
                  <wp:posOffset>2633980</wp:posOffset>
                </wp:positionV>
                <wp:extent cx="2578735" cy="155575"/>
                <wp:wrapNone/>
                <wp:docPr id="7" name="Shape 7"/>
                <a:graphic xmlns:a="http://schemas.openxmlformats.org/drawingml/2006/main">
                  <a:graphicData uri="http://schemas.microsoft.com/office/word/2010/wordprocessingShape">
                    <wps:wsp>
                      <wps:cNvSpPr txBox="1"/>
                      <wps:spPr>
                        <a:xfrm>
                          <a:ext cx="2578735" cy="15557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 </w:t>
                            </w:r>
                          </w:p>
                        </w:txbxContent>
                      </wps:txbx>
                      <wps:bodyPr lIns="0" tIns="0" rIns="0" bIns="0">
                        <a:noAutoFit/>
                      </wps:bodyPr>
                    </wps:wsp>
                  </a:graphicData>
                </a:graphic>
              </wp:anchor>
            </w:drawing>
          </mc:Choice>
          <mc:Fallback>
            <w:pict>
              <v:shape id="_x0000_s1033" type="#_x0000_t202" style="position:absolute;margin-left:56.600000000000001pt;margin-top:207.40000000000001pt;width:203.05000000000001pt;height:12.25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 </w:t>
                      </w:r>
                    </w:p>
                  </w:txbxContent>
                </v:textbox>
                <w10:wrap anchorx="page"/>
              </v:shape>
            </w:pict>
          </mc:Fallback>
        </mc:AlternateContent>
      </w:r>
      <w:r>
        <w:drawing>
          <wp:anchor distT="3081655" distB="0" distL="117475" distR="114300" simplePos="0" relativeHeight="125829382" behindDoc="0" locked="0" layoutInCell="1" allowOverlap="1">
            <wp:simplePos x="0" y="0"/>
            <wp:positionH relativeFrom="page">
              <wp:posOffset>721995</wp:posOffset>
            </wp:positionH>
            <wp:positionV relativeFrom="paragraph">
              <wp:posOffset>3094355</wp:posOffset>
            </wp:positionV>
            <wp:extent cx="2597150" cy="18288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82880"/>
                    </a:xfrm>
                    <a:prstGeom prst="rect"/>
                  </pic:spPr>
                </pic:pic>
              </a:graphicData>
            </a:graphic>
          </wp:anchor>
        </w:drawing>
      </w:r>
      <w:r>
        <mc:AlternateContent>
          <mc:Choice Requires="wps">
            <w:drawing>
              <wp:anchor distT="0" distB="0" distL="114300" distR="114300" simplePos="0" relativeHeight="125829383" behindDoc="0" locked="0" layoutInCell="1" allowOverlap="1">
                <wp:simplePos x="0" y="0"/>
                <wp:positionH relativeFrom="page">
                  <wp:posOffset>700405</wp:posOffset>
                </wp:positionH>
                <wp:positionV relativeFrom="paragraph">
                  <wp:posOffset>6087110</wp:posOffset>
                </wp:positionV>
                <wp:extent cx="740410" cy="225425"/>
                <wp:wrapSquare wrapText="right"/>
                <wp:docPr id="11" name="Shape 11"/>
                <a:graphic xmlns:a="http://schemas.openxmlformats.org/drawingml/2006/main">
                  <a:graphicData uri="http://schemas.microsoft.com/office/word/2010/wordprocessingShape">
                    <wps:wsp>
                      <wps:cNvSpPr txBox="1"/>
                      <wps:spPr>
                        <a:xfrm>
                          <a:ext cx="740410" cy="22542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24.09.2024</w:t>
                            </w:r>
                          </w:p>
                        </w:txbxContent>
                      </wps:txbx>
                      <wps:bodyPr wrap="none" lIns="0" tIns="0" rIns="0" bIns="0">
                        <a:noAutoFit/>
                      </wps:bodyPr>
                    </wps:wsp>
                  </a:graphicData>
                </a:graphic>
              </wp:anchor>
            </w:drawing>
          </mc:Choice>
          <mc:Fallback>
            <w:pict>
              <v:shape id="_x0000_s1037" type="#_x0000_t202" style="position:absolute;margin-left:55.149999999999999pt;margin-top:479.30000000000001pt;width:58.300000000000004pt;height:17.75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24.09.2024</w:t>
                      </w:r>
                    </w:p>
                  </w:txbxContent>
                </v:textbox>
                <w10:wrap type="square" side="right" anchorx="page"/>
              </v:shape>
            </w:pict>
          </mc:Fallback>
        </mc:AlternateConten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ООО «Брокер Групп»</w: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614042, Пермский край, г. Пермь,</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Иензенская, д. 57, кв. 2</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Етай: ооо.1еп^ег.Ьгокег77@дтай.сот</w: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МБУ «Центр интеллектуальной</w: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транспортной системы»</w: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344006, г. Ростов-на-Дону,</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Социалистическая, д. 135</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Етай: тГо@Й8-гп^.ш</w: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МКУ«ДИСОТИ»</w: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(далее — Уполномоченное учреждение)</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344002, г. Ростов-на-Дону, ул. Шаумяна, 74</w:t>
      </w:r>
    </w:p>
    <w:p>
      <w:pPr>
        <w:pStyle w:val="Style10"/>
        <w:keepNext w:val="0"/>
        <w:keepLines w:val="0"/>
        <w:widowControl w:val="0"/>
        <w:shd w:val="clear" w:color="auto" w:fill="auto"/>
        <w:bidi w:val="0"/>
        <w:spacing w:before="0" w:after="240" w:line="240" w:lineRule="auto"/>
        <w:ind w:left="5320" w:right="0" w:firstLine="0"/>
        <w:jc w:val="left"/>
      </w:pPr>
      <w:r>
        <w:rPr>
          <w:color w:val="000000"/>
          <w:spacing w:val="0"/>
          <w:w w:val="100"/>
          <w:position w:val="0"/>
          <w:sz w:val="24"/>
          <w:szCs w:val="24"/>
          <w:shd w:val="clear" w:color="auto" w:fill="auto"/>
          <w:lang w:val="ru-RU" w:eastAsia="ru-RU" w:bidi="ru-RU"/>
        </w:rPr>
        <w:t>Етай: хакиркЕ&amp;8оН@тай.ш, &amp;зоН2010@тай.ш</w:t>
      </w:r>
    </w:p>
    <w:p>
      <w:pPr>
        <w:pStyle w:val="Style10"/>
        <w:keepNext w:val="0"/>
        <w:keepLines w:val="0"/>
        <w:widowControl w:val="0"/>
        <w:shd w:val="clear" w:color="auto" w:fill="auto"/>
        <w:bidi w:val="0"/>
        <w:spacing w:before="0" w:after="0" w:line="240" w:lineRule="auto"/>
        <w:ind w:left="532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0"/>
        <w:keepNext w:val="0"/>
        <w:keepLines w:val="0"/>
        <w:widowControl w:val="0"/>
        <w:shd w:val="clear" w:color="auto" w:fill="auto"/>
        <w:bidi w:val="0"/>
        <w:spacing w:before="0" w:after="0" w:line="240" w:lineRule="auto"/>
        <w:ind w:left="5320" w:right="0" w:firstLine="0"/>
        <w:jc w:val="left"/>
      </w:pPr>
      <w:r>
        <w:rPr>
          <w:b/>
          <w:bCs/>
          <w:color w:val="000000"/>
          <w:spacing w:val="0"/>
          <w:w w:val="100"/>
          <w:position w:val="0"/>
          <w:sz w:val="24"/>
          <w:szCs w:val="24"/>
          <w:shd w:val="clear" w:color="auto" w:fill="auto"/>
          <w:lang w:val="ru-RU" w:eastAsia="ru-RU" w:bidi="ru-RU"/>
        </w:rPr>
        <w:t>(далее — Оператор электронной</w:t>
      </w:r>
    </w:p>
    <w:p>
      <w:pPr>
        <w:pStyle w:val="Style10"/>
        <w:keepNext w:val="0"/>
        <w:keepLines w:val="0"/>
        <w:widowControl w:val="0"/>
        <w:shd w:val="clear" w:color="auto" w:fill="auto"/>
        <w:bidi w:val="0"/>
        <w:spacing w:before="0" w:after="0" w:line="240" w:lineRule="auto"/>
        <w:ind w:left="5320" w:right="0" w:firstLine="0"/>
        <w:jc w:val="left"/>
      </w:pPr>
      <w:r>
        <w:rPr>
          <w:b/>
          <w:bCs/>
          <w:color w:val="000000"/>
          <w:spacing w:val="0"/>
          <w:w w:val="100"/>
          <w:position w:val="0"/>
          <w:sz w:val="24"/>
          <w:szCs w:val="24"/>
          <w:shd w:val="clear" w:color="auto" w:fill="auto"/>
          <w:lang w:val="ru-RU" w:eastAsia="ru-RU" w:bidi="ru-RU"/>
        </w:rPr>
        <w:t>площадки)</w:t>
      </w:r>
    </w:p>
    <w:p>
      <w:pPr>
        <w:pStyle w:val="Style10"/>
        <w:keepNext w:val="0"/>
        <w:keepLines w:val="0"/>
        <w:widowControl w:val="0"/>
        <w:shd w:val="clear" w:color="auto" w:fill="auto"/>
        <w:bidi w:val="0"/>
        <w:spacing w:before="0" w:after="1160" w:line="240" w:lineRule="auto"/>
        <w:ind w:left="5320" w:right="0" w:firstLine="0"/>
        <w:jc w:val="left"/>
      </w:pPr>
      <w:r>
        <w:rPr>
          <w:color w:val="000000"/>
          <w:spacing w:val="0"/>
          <w:w w:val="100"/>
          <w:position w:val="0"/>
          <w:sz w:val="24"/>
          <w:szCs w:val="24"/>
          <w:shd w:val="clear" w:color="auto" w:fill="auto"/>
          <w:lang w:val="ru-RU" w:eastAsia="ru-RU" w:bidi="ru-RU"/>
        </w:rPr>
        <w:t>Етай: ко@г1з-1еп^ег.ги</w:t>
      </w:r>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результатам рассмотрения дела</w:t>
        <w:br/>
        <w:t>№061/06/42-3423/2024</w:t>
      </w:r>
    </w:p>
    <w:p>
      <w:pPr>
        <w:pStyle w:val="Style10"/>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г. Ростов-на-Дону</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0"/>
        <w:keepNext w:val="0"/>
        <w:keepLines w:val="0"/>
        <w:widowControl w:val="0"/>
        <w:shd w:val="clear" w:color="auto" w:fill="auto"/>
        <w:tabs>
          <w:tab w:pos="879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0"/>
        <w:keepNext w:val="0"/>
        <w:keepLines w:val="0"/>
        <w:widowControl w:val="0"/>
        <w:shd w:val="clear" w:color="auto" w:fill="auto"/>
        <w:tabs>
          <w:tab w:pos="850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0"/>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p>
      <w:pPr>
        <w:pStyle w:val="Style10"/>
        <w:keepNext w:val="0"/>
        <w:keepLines w:val="0"/>
        <w:widowControl w:val="0"/>
        <w:shd w:val="clear" w:color="auto" w:fill="auto"/>
        <w:bidi w:val="0"/>
        <w:spacing w:before="0" w:after="440" w:line="240" w:lineRule="auto"/>
        <w:ind w:left="0" w:right="0" w:firstLine="740"/>
        <w:jc w:val="both"/>
      </w:pPr>
      <w:r>
        <w:rPr>
          <w:color w:val="000000"/>
          <w:spacing w:val="0"/>
          <w:w w:val="100"/>
          <w:position w:val="0"/>
          <w:sz w:val="24"/>
          <w:szCs w:val="24"/>
          <w:shd w:val="clear" w:color="auto" w:fill="auto"/>
          <w:lang w:val="ru-RU" w:eastAsia="ru-RU" w:bidi="ru-RU"/>
        </w:rPr>
        <w:t>рассмотрев дело №061/06/42-3423/2024 по жалобе Заявителя на действия Заказчика при проведении электронного аукциона №0358300284524000262 «Поставка, установка и пуско</w:t>
        <w:softHyphen/>
        <w:t>наладка стационарных аппаратно-программных комплексов фотовидеофиксации нарушений ПДД» (далее — аукцион, закупка), выразившиеся в нарушении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w:t>
      </w:r>
    </w:p>
    <w:p>
      <w:pPr>
        <w:pStyle w:val="Style16"/>
        <w:keepNext/>
        <w:keepLines/>
        <w:widowControl w:val="0"/>
        <w:shd w:val="clear" w:color="auto" w:fill="auto"/>
        <w:bidi w:val="0"/>
        <w:spacing w:before="0" w:after="200" w:line="240" w:lineRule="auto"/>
        <w:ind w:left="0" w:right="0" w:firstLine="0"/>
        <w:jc w:val="left"/>
        <w:rPr>
          <w:sz w:val="24"/>
          <w:szCs w:val="24"/>
        </w:rPr>
      </w:pPr>
      <w:bookmarkStart w:id="0" w:name="bookmark0"/>
      <w:r>
        <w:rPr>
          <w:color w:val="000000"/>
          <w:spacing w:val="0"/>
          <w:w w:val="100"/>
          <w:position w:val="0"/>
          <w:sz w:val="38"/>
          <w:szCs w:val="38"/>
          <w:shd w:val="clear" w:color="auto" w:fill="auto"/>
          <w:lang w:val="ru-RU" w:eastAsia="ru-RU" w:bidi="ru-RU"/>
        </w:rPr>
        <w:t>||||||||||||||||||||||||</w:t>
      </w:r>
      <w:bookmarkEnd w:id="0"/>
      <w:r>
        <w:rPr>
          <w:color w:val="000000"/>
          <w:spacing w:val="0"/>
          <w:w w:val="100"/>
          <w:position w:val="0"/>
          <w:sz w:val="38"/>
          <w:szCs w:val="38"/>
          <w:shd w:val="clear" w:color="auto" w:fill="auto"/>
          <w:lang w:val="ru-RU" w:eastAsia="ru-RU" w:bidi="ru-RU"/>
        </w:rPr>
        <w:t xml:space="preserve"> </w:t>
      </w:r>
      <w:r>
        <w:rPr>
          <w:rStyle w:val="CharStyle11"/>
        </w:rPr>
        <w:t>системы видеоконференц-связи (ВКС), в присутствии представителей Заказчика — Прушинского Е.В. (доверенность от 23.09.2024), Лактионовой Т.А. (доверенность от 23.09.2024), Нама А.В. (распоряжение 46л/с от 06.06.2024), в отсутствие представителя Заявителя, уведомленного надлежащим образом (ходатайств не поступало),</w:t>
      </w:r>
    </w:p>
    <w:p>
      <w:pPr>
        <w:pStyle w:val="Style10"/>
        <w:keepNext w:val="0"/>
        <w:keepLines w:val="0"/>
        <w:widowControl w:val="0"/>
        <w:shd w:val="clear" w:color="auto" w:fill="auto"/>
        <w:bidi w:val="0"/>
        <w:spacing w:before="0" w:after="20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Заказчика при формировании извещения о проведении аукциона.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 в возражениях на жалобу отрицал нарушения Закона; представил пояснения по доводам жалобы.</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smallCaps/>
          <w:color w:val="000000"/>
          <w:spacing w:val="0"/>
          <w:w w:val="100"/>
          <w:position w:val="0"/>
          <w:sz w:val="24"/>
          <w:szCs w:val="24"/>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/акиркадоу. ги</w:t>
      </w:r>
      <w:r>
        <w:rPr>
          <w:color w:val="00000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10.09.2024 размещено извещение о проведении закупки, согласно которого:</w:t>
      </w:r>
    </w:p>
    <w:p>
      <w:pPr>
        <w:pStyle w:val="Style10"/>
        <w:keepNext w:val="0"/>
        <w:keepLines w:val="0"/>
        <w:widowControl w:val="0"/>
        <w:numPr>
          <w:ilvl w:val="0"/>
          <w:numId w:val="1"/>
        </w:numPr>
        <w:shd w:val="clear" w:color="auto" w:fill="auto"/>
        <w:tabs>
          <w:tab w:pos="1003"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- 18.09.2024 10:00 (МСК);</w:t>
      </w:r>
    </w:p>
    <w:p>
      <w:pPr>
        <w:pStyle w:val="Style10"/>
        <w:keepNext w:val="0"/>
        <w:keepLines w:val="0"/>
        <w:widowControl w:val="0"/>
        <w:numPr>
          <w:ilvl w:val="0"/>
          <w:numId w:val="1"/>
        </w:numPr>
        <w:shd w:val="clear" w:color="auto" w:fill="auto"/>
        <w:tabs>
          <w:tab w:pos="1003" w:val="left"/>
        </w:tabs>
        <w:bidi w:val="0"/>
        <w:spacing w:before="0" w:after="260" w:line="240" w:lineRule="auto"/>
        <w:ind w:left="0" w:right="0" w:firstLine="76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17 000 000,00 рублей.</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доводу жалобы Заявителя, Заказчиком в нарушение ч.4 ст.31 Закона не установлены дополнительные требования к участникам закупки в соответствии с позицией 9 Постановления Правительства РФ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п.12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Одним из требований к участникам закупки, предусмотренным ч.1 ст.31 Закона, является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ч.2 ст.31 Закона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0"/>
        <w:keepNext w:val="0"/>
        <w:keepLines w:val="0"/>
        <w:widowControl w:val="0"/>
        <w:numPr>
          <w:ilvl w:val="0"/>
          <w:numId w:val="3"/>
        </w:numPr>
        <w:shd w:val="clear" w:color="auto" w:fill="auto"/>
        <w:tabs>
          <w:tab w:pos="110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финансовых ресурсов для исполнения контракта;</w:t>
      </w:r>
    </w:p>
    <w:p>
      <w:pPr>
        <w:pStyle w:val="Style10"/>
        <w:keepNext w:val="0"/>
        <w:keepLines w:val="0"/>
        <w:widowControl w:val="0"/>
        <w:numPr>
          <w:ilvl w:val="0"/>
          <w:numId w:val="3"/>
        </w:numPr>
        <w:shd w:val="clear" w:color="auto" w:fill="auto"/>
        <w:tabs>
          <w:tab w:pos="1107"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0"/>
        <w:keepNext w:val="0"/>
        <w:keepLines w:val="0"/>
        <w:widowControl w:val="0"/>
        <w:numPr>
          <w:ilvl w:val="0"/>
          <w:numId w:val="3"/>
        </w:numPr>
        <w:shd w:val="clear" w:color="auto" w:fill="auto"/>
        <w:tabs>
          <w:tab w:pos="1128"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опыта работы, связанного с предметом контракта, и деловой репутации;</w:t>
      </w:r>
    </w:p>
    <w:p>
      <w:pPr>
        <w:pStyle w:val="Style10"/>
        <w:keepNext w:val="0"/>
        <w:keepLines w:val="0"/>
        <w:widowControl w:val="0"/>
        <w:numPr>
          <w:ilvl w:val="0"/>
          <w:numId w:val="3"/>
        </w:numPr>
        <w:shd w:val="clear" w:color="auto" w:fill="auto"/>
        <w:tabs>
          <w:tab w:pos="1102" w:val="left"/>
        </w:tabs>
        <w:bidi w:val="0"/>
        <w:spacing w:before="0" w:after="220" w:line="240" w:lineRule="auto"/>
        <w:ind w:left="0" w:right="0" w:firstLine="760"/>
        <w:jc w:val="both"/>
      </w:pPr>
      <w:r>
        <w:rPr>
          <w:color w:val="000000"/>
          <w:spacing w:val="0"/>
          <w:w w:val="100"/>
          <w:position w:val="0"/>
          <w:sz w:val="24"/>
          <w:szCs w:val="24"/>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Частью 4 ст.31 Закона предусмотрено, что в случае установления Правительством Российской Федерации в соответствии с ч.ч.2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ч.6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Позицией 17 Постановления №2571 регламентировано, что в случае осуществления закупки по строительству, реконструкции, капитальному ремонту автомобильной дороги к участникам закупки устанавливается требование о наличии у участника закупки следующего опыта выполнения работ:</w:t>
      </w:r>
    </w:p>
    <w:p>
      <w:pPr>
        <w:pStyle w:val="Style10"/>
        <w:keepNext w:val="0"/>
        <w:keepLines w:val="0"/>
        <w:widowControl w:val="0"/>
        <w:numPr>
          <w:ilvl w:val="0"/>
          <w:numId w:val="5"/>
        </w:numPr>
        <w:shd w:val="clear" w:color="auto" w:fill="auto"/>
        <w:tabs>
          <w:tab w:pos="106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10"/>
        <w:keepNext w:val="0"/>
        <w:keepLines w:val="0"/>
        <w:widowControl w:val="0"/>
        <w:numPr>
          <w:ilvl w:val="0"/>
          <w:numId w:val="5"/>
        </w:numPr>
        <w:shd w:val="clear" w:color="auto" w:fill="auto"/>
        <w:tabs>
          <w:tab w:pos="106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10"/>
        <w:keepNext w:val="0"/>
        <w:keepLines w:val="0"/>
        <w:widowControl w:val="0"/>
        <w:numPr>
          <w:ilvl w:val="0"/>
          <w:numId w:val="5"/>
        </w:numPr>
        <w:shd w:val="clear" w:color="auto" w:fill="auto"/>
        <w:tabs>
          <w:tab w:pos="1062"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капитальному ремонту автомобильной дороги.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Цена выполненных работ по договорам, предусмотренным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п.3 Постановления №2571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согласно позиции 17 Постановления №2571 при осуществлении работ по строительству, реконструкции, капитальному ремонту автомобильной дороги к участникам закупки устанавливаются дополнительные требования.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Извещением о закупке не установлено дополнительное требование к участникам закупки, в соответствии с позицией 17 Постановления №2571.</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Ростовского УФАС России не согласна с изложенной позицией ввиду следующего.</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со статьей 3 Федерального закона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элементы обустройства автомобильных дорог - 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В соответствии с пп.1 п.10 раздела IV "Классификация работ по содержанию </w:t>
      </w:r>
      <w:r>
        <w:rPr>
          <w:color w:val="000000"/>
          <w:spacing w:val="0"/>
          <w:w w:val="100"/>
          <w:position w:val="0"/>
          <w:sz w:val="24"/>
          <w:szCs w:val="24"/>
          <w:shd w:val="clear" w:color="auto" w:fill="auto"/>
          <w:lang w:val="ru-RU" w:eastAsia="ru-RU" w:bidi="ru-RU"/>
        </w:rPr>
        <w:t xml:space="preserve">автомобильных дорог", утвержденного приказом Министерства транспорта РФ от 16.11.2012 \40)2 "Об утверждении Классификации работ по капитальному ремонту, ремонту и содержанию автомобильных дорог" в состав мероприятий по содержанию входят работы по установке следующих элементов обустройства: установка габаритных, удерживающих ворот, недостающих дорожных знаков и табло индивидуального проектирования, автономных и дистанционно управляемых знаков, светофорных объектов, метеорологических систем мониторинга погодных условий и прогнозирования условий движения, видеосистем, систем контроля линий электроосвещения, пунктов автоматизированного учета интенсивности дорожного движения и других пунктов контроля за дорожным движением, элементов весового и габаритного контроля транспортных средств, </w:t>
      </w:r>
      <w:r>
        <w:rPr>
          <w:color w:val="000000"/>
          <w:spacing w:val="0"/>
          <w:w w:val="100"/>
          <w:position w:val="0"/>
          <w:sz w:val="24"/>
          <w:szCs w:val="24"/>
          <w:u w:val="single"/>
          <w:shd w:val="clear" w:color="auto" w:fill="auto"/>
          <w:lang w:val="ru-RU" w:eastAsia="ru-RU" w:bidi="ru-RU"/>
        </w:rPr>
        <w:t>элементов интеллектуальных транспортных систем и элементов автоматизированных систем управления дорожным движением</w:t>
      </w:r>
      <w:r>
        <w:rPr>
          <w:color w:val="000000"/>
          <w:spacing w:val="0"/>
          <w:w w:val="100"/>
          <w:position w:val="0"/>
          <w:sz w:val="24"/>
          <w:szCs w:val="24"/>
          <w:shd w:val="clear" w:color="auto" w:fill="auto"/>
          <w:lang w:val="ru-RU" w:eastAsia="ru-RU" w:bidi="ru-RU"/>
        </w:rPr>
        <w:t>, в том числе элементов систем передачи данных.</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Стационарные аппаратно-программные комплексы являются частью интеллектуальной транспортной системы (Концепция создания и функционирования национальной сети интеллектуальных транспортных систем на автомобильных дорогах общего пользования, утвержденная Распоряжением Минтранса России от 30.09.2022 №АК-247-р).</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Концепция разработана в соответствии с целями и задачами по инновационному развитию и цифровой трансформации транспортного комплекса Российской Федерации и направлена на решение задач по переходу к инновационной модели развития дорожной отрасли на основе цифровых технологий и платформенных решений в части формирования интеллектуальной дорожной инфраструктуры, внедрения на автомобильных дорогах общего пользования интеллектуальных транспортных систем (далее — ИТС).</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Национальная сеть ИТС призвана обеспечить на инновационной основе решение задач в области безопасности и оптимизации дорожного движения транспортных средств. Интеллектуальная транспортная система - система управления, интегрирующая современные информационные и телематические технологии и предназначенная для автоматизированного поиска и принятия к реализации максимально эффективных сценариев управления дорожно</w:t>
        <w:softHyphen/>
        <w:t>транспортным комплексом региона, конкретным транспортным средством или группой транспортных средств с целью обеспечения заданной мобильности населения, максимизации показателей использования дорожной сети, повышения безопасности и эффективности транспортного процесса, комфортности для водителей и пользователей транспорта.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Понятие интеллектуальной транспортной системы указано в следующих нормативных актах — Концепции, Распоряжении Правительства РФ от 25.03.2020 № 724-р, Приказе Минтранса России от 30.12.2021 ^ 482, Распоряжении Правительства РФ от 08.01.2018 № 1-р, ГОСТ Р 56829-2015, ГОСТ Р 70124-2022.</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этом, в соответствии с описанием объекта закупки и обоснованием НМЦК в составе НМЦК присутствует именно товар - оборудование, а не работы.</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извещении в разделе информация об объекте закупки Заказчиком установлен тип объекта закупки - Товар.</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Общероссийскому классификатору продукции по видам экономической деятельности (ОКПД 2) Заказчиком выбран код ОКПД2 26.51.66.190 «Инструменты, приборы и машины для измерения или контроля прочие, не включенные в другие группировки».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Также, положениями пункта 1.1 проекта контракта Заказчиком установлены условия о поставке Товара: «Поставщик обязуется осуществить поставку, установку и пуско-наладку стационарных аппаратно-программных комплексов фотовидеофиксации нарушений ПДД в количестве 12 (двенадцати ) штук (далее - Товар), а Заказчик обязуется принять и оплатить Товар в порядке и на условиях, предусмотренных Контрактом» и пунктом 1.2 «Наименование, количество и иные характеристики поставляемого Товара указаны в Спецификации (приложение 1 к Контракту), являющейся неотъемлемой частью Контракта».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Исходя из изложенного, в извещении и проекте контракта Заказчиком установлены требования о поставке товара с его дальнейшей установкой и пуско-наладкой.</w:t>
      </w:r>
    </w:p>
    <w:p>
      <w:pPr>
        <w:pStyle w:val="Style10"/>
        <w:keepNext w:val="0"/>
        <w:keepLines w:val="0"/>
        <w:widowControl w:val="0"/>
        <w:shd w:val="clear" w:color="auto" w:fill="auto"/>
        <w:bidi w:val="0"/>
        <w:spacing w:before="0" w:after="260" w:line="240" w:lineRule="auto"/>
        <w:ind w:left="0" w:right="0" w:firstLine="760"/>
        <w:jc w:val="both"/>
      </w:pPr>
      <w:r>
        <w:rPr>
          <w:color w:val="000000"/>
          <w:spacing w:val="0"/>
          <w:w w:val="100"/>
          <w:position w:val="0"/>
          <w:sz w:val="24"/>
          <w:szCs w:val="24"/>
          <w:shd w:val="clear" w:color="auto" w:fill="auto"/>
          <w:lang w:val="ru-RU" w:eastAsia="ru-RU" w:bidi="ru-RU"/>
        </w:rPr>
        <w:t>На основании изложенного, Комиссия Ростовского УФАС России приходит к выводу, что предметом закупки выступает интеллектуальная транспортная система, то есть самостоятельный программный продукт, что не относится к работам по капитальному ремонту дорог и не требует установления дополнительных требований к участникам закупки в соответствии с позицией 17 Постановления №2571. Таким образом, довод жалобы — необоснованный.</w:t>
      </w:r>
    </w:p>
    <w:p>
      <w:pPr>
        <w:pStyle w:val="Style10"/>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0"/>
        <w:keepNext w:val="0"/>
        <w:keepLines w:val="0"/>
        <w:widowControl w:val="0"/>
        <w:shd w:val="clear" w:color="auto" w:fill="auto"/>
        <w:bidi w:val="0"/>
        <w:spacing w:before="0" w:after="260" w:line="240" w:lineRule="auto"/>
        <w:ind w:left="0" w:right="0" w:firstLine="760"/>
        <w:jc w:val="both"/>
      </w:pPr>
      <w:r>
        <w:rPr>
          <w:color w:val="000000"/>
          <w:spacing w:val="0"/>
          <w:w w:val="100"/>
          <w:position w:val="0"/>
          <w:sz w:val="24"/>
          <w:szCs w:val="24"/>
          <w:shd w:val="clear" w:color="auto" w:fill="auto"/>
          <w:lang w:val="ru-RU" w:eastAsia="ru-RU" w:bidi="ru-RU"/>
        </w:rPr>
        <w:t>Признать жалобу ООО «БРОКЕР ГРУПП» необоснованной.</w:t>
      </w:r>
    </w:p>
    <w:p>
      <w:pPr>
        <w:pStyle w:val="Style5"/>
        <w:keepNext w:val="0"/>
        <w:keepLines w:val="0"/>
        <w:widowControl w:val="0"/>
        <w:shd w:val="clear" w:color="auto" w:fill="auto"/>
        <w:bidi w:val="0"/>
        <w:spacing w:before="0" w:after="960" w:line="240" w:lineRule="auto"/>
        <w:ind w:left="0" w:right="0" w:firstLine="76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tbl>
      <w:tblPr>
        <w:tblOverlap w:val="never"/>
        <w:jc w:val="center"/>
        <w:tblLayout w:type="fixed"/>
      </w:tblPr>
      <w:tblGrid>
        <w:gridCol w:w="2938"/>
        <w:gridCol w:w="4118"/>
        <w:gridCol w:w="3110"/>
      </w:tblGrid>
      <w:tr>
        <w:trPr>
          <w:trHeight w:val="1541" w:hRule="exact"/>
        </w:trPr>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center"/>
          </w:tcPr>
          <w:p>
            <w:pPr>
              <w:pStyle w:val="Style20"/>
              <w:keepNext w:val="0"/>
              <w:keepLines w:val="0"/>
              <w:widowControl w:val="0"/>
              <w:shd w:val="clear" w:color="auto" w:fill="auto"/>
              <w:bidi w:val="0"/>
              <w:spacing w:before="0" w:after="0" w:line="396" w:lineRule="auto"/>
              <w:ind w:left="380" w:right="0" w:firstLine="0"/>
              <w:jc w:val="left"/>
              <w:rPr>
                <w:sz w:val="22"/>
                <w:szCs w:val="22"/>
              </w:rPr>
            </w:pPr>
            <w:r>
              <w:rPr>
                <w:rFonts w:ascii="Arial" w:eastAsia="Arial" w:hAnsi="Arial" w:cs="Arial"/>
                <w:b/>
                <w:bCs/>
                <w:color w:val="838384"/>
                <w:spacing w:val="0"/>
                <w:w w:val="100"/>
                <w:position w:val="0"/>
                <w:sz w:val="22"/>
                <w:szCs w:val="22"/>
                <w:shd w:val="clear" w:color="auto" w:fill="auto"/>
                <w:lang w:val="ru-RU" w:eastAsia="ru-RU" w:bidi="ru-RU"/>
              </w:rPr>
              <w:t>Моего для подписи:</w:t>
            </w:r>
            <w:r>
              <w:rPr>
                <w:rFonts w:ascii="Arial" w:eastAsia="Arial" w:hAnsi="Arial" w:cs="Arial"/>
                <w:b/>
                <w:bCs/>
                <w:color w:val="838384"/>
                <w:spacing w:val="0"/>
                <w:w w:val="100"/>
                <w:position w:val="0"/>
                <w:sz w:val="22"/>
                <w:szCs w:val="22"/>
                <w:shd w:val="clear" w:color="auto" w:fill="auto"/>
                <w:lang w:val="ru-RU" w:eastAsia="ru-RU" w:bidi="ru-RU"/>
              </w:rPr>
              <w:t xml:space="preserve"> Батурин С- В.</w:t>
            </w:r>
          </w:p>
        </w:tc>
        <w:tc>
          <w:tcPr>
            <w:tcBorders/>
            <w:shd w:val="clear" w:color="auto" w:fill="auto"/>
            <w:vAlign w:val="top"/>
          </w:tcPr>
          <w:p>
            <w:pPr>
              <w:pStyle w:val="Style20"/>
              <w:keepNext w:val="0"/>
              <w:keepLines w:val="0"/>
              <w:widowControl w:val="0"/>
              <w:shd w:val="clear" w:color="auto" w:fill="auto"/>
              <w:bidi w:val="0"/>
              <w:spacing w:before="20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c>
      </w:tr>
      <w:tr>
        <w:trPr>
          <w:trHeight w:val="2136" w:hRule="exact"/>
        </w:trPr>
        <w:tc>
          <w:tcPr>
            <w:tcBorders/>
            <w:shd w:val="clear" w:color="auto" w:fill="auto"/>
            <w:vAlign w:val="top"/>
          </w:tcPr>
          <w:p>
            <w:pPr>
              <w:pStyle w:val="Style20"/>
              <w:keepNext w:val="0"/>
              <w:keepLines w:val="0"/>
              <w:widowControl w:val="0"/>
              <w:shd w:val="clear" w:color="auto" w:fill="auto"/>
              <w:bidi w:val="0"/>
              <w:spacing w:before="22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0"/>
              <w:keepNext w:val="0"/>
              <w:keepLines w:val="0"/>
              <w:widowControl w:val="0"/>
              <w:shd w:val="clear" w:color="auto" w:fill="auto"/>
              <w:bidi w:val="0"/>
              <w:spacing w:before="0" w:after="140" w:line="240" w:lineRule="auto"/>
              <w:ind w:left="0" w:right="0" w:firstLine="380"/>
              <w:jc w:val="left"/>
              <w:rPr>
                <w:sz w:val="22"/>
                <w:szCs w:val="22"/>
              </w:rPr>
            </w:pPr>
            <w:r>
              <w:rPr>
                <w:rFonts w:ascii="Arial" w:eastAsia="Arial" w:hAnsi="Arial" w:cs="Arial"/>
                <w:b/>
                <w:bCs/>
                <w:color w:val="838384"/>
                <w:spacing w:val="0"/>
                <w:w w:val="100"/>
                <w:position w:val="0"/>
                <w:sz w:val="22"/>
                <w:szCs w:val="22"/>
                <w:shd w:val="clear" w:color="auto" w:fill="auto"/>
                <w:lang w:val="ru-RU" w:eastAsia="ru-RU" w:bidi="ru-RU"/>
              </w:rPr>
              <w:t>Моего для подписи:</w:t>
            </w:r>
          </w:p>
          <w:p>
            <w:pPr>
              <w:pStyle w:val="Style20"/>
              <w:keepNext w:val="0"/>
              <w:keepLines w:val="0"/>
              <w:widowControl w:val="0"/>
              <w:shd w:val="clear" w:color="auto" w:fill="auto"/>
              <w:bidi w:val="0"/>
              <w:spacing w:before="0" w:after="0" w:line="240" w:lineRule="auto"/>
              <w:ind w:left="0" w:right="0" w:firstLine="380"/>
              <w:jc w:val="left"/>
              <w:rPr>
                <w:sz w:val="22"/>
                <w:szCs w:val="22"/>
              </w:rPr>
            </w:pPr>
            <w:r>
              <w:rPr>
                <w:rFonts w:ascii="Arial" w:eastAsia="Arial" w:hAnsi="Arial" w:cs="Arial"/>
                <w:b/>
                <w:bCs/>
                <w:color w:val="838384"/>
                <w:spacing w:val="0"/>
                <w:w w:val="100"/>
                <w:position w:val="0"/>
                <w:sz w:val="22"/>
                <w:szCs w:val="22"/>
                <w:shd w:val="clear" w:color="auto" w:fill="auto"/>
                <w:lang w:val="ru-RU" w:eastAsia="ru-RU" w:bidi="ru-RU"/>
              </w:rPr>
              <w:t>Кириленко В. Д.</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tc>
      </w:tr>
      <w:tr>
        <w:trPr>
          <w:trHeight w:val="1555"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0"/>
              <w:keepNext w:val="0"/>
              <w:keepLines w:val="0"/>
              <w:widowControl w:val="0"/>
              <w:shd w:val="clear" w:color="auto" w:fill="auto"/>
              <w:bidi w:val="0"/>
              <w:spacing w:before="0" w:after="0" w:line="386" w:lineRule="auto"/>
              <w:ind w:left="380" w:right="0" w:firstLine="0"/>
              <w:jc w:val="left"/>
              <w:rPr>
                <w:sz w:val="22"/>
                <w:szCs w:val="22"/>
              </w:rPr>
            </w:pPr>
            <w:r>
              <w:rPr>
                <w:rFonts w:ascii="Arial" w:eastAsia="Arial" w:hAnsi="Arial" w:cs="Arial"/>
                <w:b/>
                <w:bCs/>
                <w:color w:val="838384"/>
                <w:spacing w:val="0"/>
                <w:w w:val="100"/>
                <w:position w:val="0"/>
                <w:sz w:val="22"/>
                <w:szCs w:val="22"/>
                <w:shd w:val="clear" w:color="auto" w:fill="auto"/>
                <w:lang w:val="ru-RU" w:eastAsia="ru-RU" w:bidi="ru-RU"/>
              </w:rPr>
              <w:t>Мссго для подписи:</w:t>
            </w:r>
            <w:r>
              <w:rPr>
                <w:rFonts w:ascii="Arial" w:eastAsia="Arial" w:hAnsi="Arial" w:cs="Arial"/>
                <w:b/>
                <w:bCs/>
                <w:color w:val="838384"/>
                <w:spacing w:val="0"/>
                <w:w w:val="100"/>
                <w:position w:val="0"/>
                <w:sz w:val="22"/>
                <w:szCs w:val="22"/>
                <w:shd w:val="clear" w:color="auto" w:fill="auto"/>
                <w:lang w:val="ru-RU" w:eastAsia="ru-RU" w:bidi="ru-RU"/>
              </w:rPr>
              <w:t xml:space="preserve"> Лукьянова В. В.</w:t>
            </w:r>
          </w:p>
        </w:tc>
        <w:tc>
          <w:tcPr>
            <w:tcBorders/>
            <w:shd w:val="clear" w:color="auto" w:fill="auto"/>
            <w:vAlign w:val="top"/>
          </w:tcPr>
          <w:p>
            <w:pPr>
              <w:pStyle w:val="Style20"/>
              <w:keepNext w:val="0"/>
              <w:keepLines w:val="0"/>
              <w:widowControl w:val="0"/>
              <w:shd w:val="clear" w:color="auto" w:fill="auto"/>
              <w:bidi w:val="0"/>
              <w:spacing w:before="320" w:after="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tc>
      </w:tr>
    </w:tbl>
    <w:p>
      <w:pPr>
        <w:widowControl w:val="0"/>
        <w:spacing w:after="3439" w:line="1" w:lineRule="exact"/>
      </w:pP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Исп.Лукьянова В.В.</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тел.240-86-88</w:t>
      </w:r>
    </w:p>
    <w:sectPr>
      <w:footerReference w:type="default" r:id="rId11"/>
      <w:footerReference w:type="first" r:id="rId12"/>
      <w:footnotePr>
        <w:pos w:val="pageBottom"/>
        <w:numFmt w:val="decimal"/>
        <w:numRestart w:val="continuous"/>
      </w:footnotePr>
      <w:pgSz w:w="11900" w:h="16840"/>
      <w:pgMar w:top="977" w:right="520" w:bottom="1195" w:left="1088"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726440</wp:posOffset>
              </wp:positionH>
              <wp:positionV relativeFrom="page">
                <wp:posOffset>9997440</wp:posOffset>
              </wp:positionV>
              <wp:extent cx="725170" cy="100330"/>
              <wp:wrapNone/>
              <wp:docPr id="13" name="Shape 1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2024-19400</w:t>
                          </w:r>
                        </w:p>
                      </w:txbxContent>
                    </wps:txbx>
                    <wps:bodyPr wrap="none" lIns="0" tIns="0" rIns="0" bIns="0">
                      <a:spAutoFit/>
                    </wps:bodyPr>
                  </wps:wsp>
                </a:graphicData>
              </a:graphic>
            </wp:anchor>
          </w:drawing>
        </mc:Choice>
        <mc:Fallback>
          <w:pict>
            <v:shape id="_x0000_s1039" type="#_x0000_t202" style="position:absolute;margin-left:57.200000000000003pt;margin-top:787.2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718820</wp:posOffset>
              </wp:positionH>
              <wp:positionV relativeFrom="page">
                <wp:posOffset>9997440</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2024-19400</w:t>
                          </w:r>
                        </w:p>
                      </w:txbxContent>
                    </wps:txbx>
                    <wps:bodyPr wrap="none" lIns="0" tIns="0" rIns="0" bIns="0">
                      <a:spAutoFit/>
                    </wps:bodyPr>
                  </wps:wsp>
                </a:graphicData>
              </a:graphic>
            </wp:anchor>
          </w:drawing>
        </mc:Choice>
        <mc:Fallback>
          <w:pict>
            <v:shape id="_x0000_s1041" type="#_x0000_t202" style="position:absolute;margin-left:56.600000000000001pt;margin-top:787.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2024-19400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8"/>
      <w:szCs w:val="18"/>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4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8"/>
      <w:szCs w:val="38"/>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3)"/>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2)"/>
    <w:basedOn w:val="Normal"/>
    <w:link w:val="CharStyle6"/>
    <w:pPr>
      <w:widowControl w:val="0"/>
      <w:shd w:val="clear" w:color="auto" w:fill="auto"/>
      <w:spacing w:after="200"/>
    </w:pPr>
    <w:rPr>
      <w:rFonts w:ascii="Times New Roman" w:eastAsia="Times New Roman" w:hAnsi="Times New Roman" w:cs="Times New Roman"/>
      <w:b w:val="0"/>
      <w:bCs w:val="0"/>
      <w:i w:val="0"/>
      <w:iCs w:val="0"/>
      <w:smallCaps w:val="0"/>
      <w:strike w:val="0"/>
      <w:sz w:val="18"/>
      <w:szCs w:val="18"/>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4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240"/>
      <w:outlineLvl w:val="0"/>
    </w:pPr>
    <w:rPr>
      <w:rFonts w:ascii="Arial" w:eastAsia="Arial" w:hAnsi="Arial" w:cs="Arial"/>
      <w:b w:val="0"/>
      <w:bCs w:val="0"/>
      <w:i w:val="0"/>
      <w:iCs w:val="0"/>
      <w:smallCaps w:val="0"/>
      <w:strike w:val="0"/>
      <w:sz w:val="38"/>
      <w:szCs w:val="38"/>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Постановление Правительства РФ от 29.12.2021 N 2571(ред. от 31.10.2022)"О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dc:title>
  <dc:subject/>
  <dc:creator/>
  <cp:keywords/>
</cp:coreProperties>
</file>