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1745615</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09930" distB="1045845" distL="312420" distR="264160" simplePos="0" relativeHeight="125829379" behindDoc="0" locked="0" layoutInCell="1" allowOverlap="1">
                <wp:simplePos x="0" y="0"/>
                <wp:positionH relativeFrom="page">
                  <wp:posOffset>892175</wp:posOffset>
                </wp:positionH>
                <wp:positionV relativeFrom="paragraph">
                  <wp:posOffset>722630</wp:posOffset>
                </wp:positionV>
                <wp:extent cx="2249170" cy="1505585"/>
                <wp:wrapSquare wrapText="bothSides"/>
                <wp:docPr id="3" name="Shape 3"/>
                <a:graphic xmlns:a="http://schemas.openxmlformats.org/drawingml/2006/main">
                  <a:graphicData uri="http://schemas.microsoft.com/office/word/2010/wordprocessingShape">
                    <wps:wsp>
                      <wps:cNvSpPr txBox="1"/>
                      <wps:spPr>
                        <a:xfrm>
                          <a:ext cx="2249170" cy="1505585"/>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6"/>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0.25pt;margin-top:56.899999999999999pt;width:177.09999999999999pt;height:118.55pt;z-index:-125829374;mso-wrap-distance-left:24.600000000000001pt;mso-wrap-distance-top:55.899999999999999pt;mso-wrap-distance-right:20.800000000000001pt;mso-wrap-distance-bottom:82.350000000000009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6"/>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anchorx="page"/>
              </v:shape>
            </w:pict>
          </mc:Fallback>
        </mc:AlternateContent>
      </w:r>
      <w:r>
        <w:drawing>
          <wp:anchor distT="2270760" distB="792480" distL="181610" distR="1525905" simplePos="0" relativeHeight="125829381" behindDoc="0" locked="0" layoutInCell="1" allowOverlap="1">
            <wp:simplePos x="0" y="0"/>
            <wp:positionH relativeFrom="page">
              <wp:posOffset>761365</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694055</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4.649999999999999pt;margin-top:206.90000000000001pt;width:203.05000000000001pt;height:12.7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697230</wp:posOffset>
            </wp:positionH>
            <wp:positionV relativeFrom="paragraph">
              <wp:posOffset>3094355</wp:posOffset>
            </wp:positionV>
            <wp:extent cx="2597150" cy="182880"/>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r>
        <mc:AlternateContent>
          <mc:Choice Requires="wps">
            <w:drawing>
              <wp:anchor distT="0" distB="0" distL="114300" distR="114300" simplePos="0" relativeHeight="125829383" behindDoc="0" locked="0" layoutInCell="1" allowOverlap="1">
                <wp:simplePos x="0" y="0"/>
                <wp:positionH relativeFrom="page">
                  <wp:posOffset>6168390</wp:posOffset>
                </wp:positionH>
                <wp:positionV relativeFrom="paragraph">
                  <wp:posOffset>6546850</wp:posOffset>
                </wp:positionV>
                <wp:extent cx="1057910" cy="567055"/>
                <wp:wrapSquare wrapText="bothSides"/>
                <wp:docPr id="11" name="Shape 11"/>
                <a:graphic xmlns:a="http://schemas.openxmlformats.org/drawingml/2006/main">
                  <a:graphicData uri="http://schemas.microsoft.com/office/word/2010/wordprocessingShape">
                    <wps:wsp>
                      <wps:cNvSpPr txBox="1"/>
                      <wps:spPr>
                        <a:xfrm>
                          <a:ext cx="1057910" cy="567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wps:txbx>
                      <wps:bodyPr lIns="0" tIns="0" rIns="0" bIns="0">
                        <a:noAutoFit/>
                      </wps:bodyPr>
                    </wps:wsp>
                  </a:graphicData>
                </a:graphic>
              </wp:anchor>
            </w:drawing>
          </mc:Choice>
          <mc:Fallback>
            <w:pict>
              <v:shape id="_x0000_s1037" type="#_x0000_t202" style="position:absolute;margin-left:485.69999999999999pt;margin-top:515.5pt;width:83.299999999999997pt;height:44.649999999999999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v:textbox>
                <w10:wrap type="square" anchorx="page"/>
              </v:shape>
            </w:pict>
          </mc:Fallback>
        </mc:AlternateContent>
      </w:r>
    </w:p>
    <w:p>
      <w:pPr>
        <w:pStyle w:val="Style12"/>
        <w:keepNext/>
        <w:keepLines/>
        <w:widowControl w:val="0"/>
        <w:shd w:val="clear" w:color="auto" w:fill="auto"/>
        <w:bidi w:val="0"/>
        <w:spacing w:before="0" w:after="0" w:line="240" w:lineRule="auto"/>
        <w:ind w:left="0" w:right="0" w:firstLine="460"/>
        <w:jc w:val="left"/>
      </w:pPr>
      <w:bookmarkStart w:id="0" w:name="bookmark0"/>
      <w:r>
        <w:rPr>
          <w:color w:val="000000"/>
          <w:spacing w:val="0"/>
          <w:w w:val="100"/>
          <w:position w:val="0"/>
          <w:sz w:val="24"/>
          <w:szCs w:val="24"/>
          <w:shd w:val="clear" w:color="auto" w:fill="auto"/>
          <w:lang w:val="ru-RU" w:eastAsia="ru-RU" w:bidi="ru-RU"/>
        </w:rPr>
        <w:t>ООО «Техносервис»</w:t>
      </w:r>
      <w:bookmarkEnd w:id="0"/>
    </w:p>
    <w:p>
      <w:pPr>
        <w:pStyle w:val="Style12"/>
        <w:keepNext/>
        <w:keepLines/>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ru-RU" w:eastAsia="ru-RU" w:bidi="ru-RU"/>
        </w:rPr>
        <w:t>(далее - Заявитель-1)</w:t>
      </w:r>
    </w:p>
    <w:p>
      <w:pPr>
        <w:pStyle w:val="Style10"/>
        <w:keepNext w:val="0"/>
        <w:keepLines w:val="0"/>
        <w:widowControl w:val="0"/>
        <w:shd w:val="clear" w:color="auto" w:fill="auto"/>
        <w:bidi w:val="0"/>
        <w:spacing w:before="0" w:after="0" w:line="240" w:lineRule="auto"/>
        <w:ind w:left="460" w:right="0" w:firstLine="40"/>
        <w:jc w:val="left"/>
      </w:pPr>
      <w:r>
        <w:rPr>
          <w:color w:val="000000"/>
          <w:spacing w:val="0"/>
          <w:w w:val="100"/>
          <w:position w:val="0"/>
          <w:sz w:val="24"/>
          <w:szCs w:val="24"/>
          <w:shd w:val="clear" w:color="auto" w:fill="auto"/>
          <w:lang w:val="ru-RU" w:eastAsia="ru-RU" w:bidi="ru-RU"/>
        </w:rPr>
        <w:t>ул. Атарбекова, 1/2, литер А, эт. 2, оф. 80, г. Краснодар, 350062</w:t>
      </w:r>
    </w:p>
    <w:p>
      <w:pPr>
        <w:pStyle w:val="Style10"/>
        <w:keepNext w:val="0"/>
        <w:keepLines w:val="0"/>
        <w:widowControl w:val="0"/>
        <w:shd w:val="clear" w:color="auto" w:fill="auto"/>
        <w:bidi w:val="0"/>
        <w:spacing w:before="0" w:after="240" w:line="240" w:lineRule="auto"/>
        <w:ind w:left="460" w:right="0" w:firstLine="40"/>
        <w:jc w:val="left"/>
      </w:pPr>
      <w:r>
        <w:rPr>
          <w:color w:val="000000"/>
          <w:spacing w:val="0"/>
          <w:w w:val="100"/>
          <w:position w:val="0"/>
          <w:sz w:val="24"/>
          <w:szCs w:val="24"/>
          <w:shd w:val="clear" w:color="auto" w:fill="auto"/>
          <w:lang w:val="ru-RU" w:eastAsia="ru-RU" w:bidi="ru-RU"/>
        </w:rPr>
        <w:t>ЕтаП: 1епдег@1еЬз8.ш</w:t>
      </w:r>
    </w:p>
    <w:p>
      <w:pPr>
        <w:pStyle w:val="Style12"/>
        <w:keepNext/>
        <w:keepLines/>
        <w:widowControl w:val="0"/>
        <w:shd w:val="clear" w:color="auto" w:fill="auto"/>
        <w:bidi w:val="0"/>
        <w:spacing w:before="0" w:after="0" w:line="240" w:lineRule="auto"/>
        <w:ind w:left="460" w:right="0" w:firstLine="40"/>
        <w:jc w:val="left"/>
      </w:pPr>
      <w:bookmarkStart w:id="3" w:name="bookmark3"/>
      <w:r>
        <w:rPr>
          <w:color w:val="000000"/>
          <w:spacing w:val="0"/>
          <w:w w:val="100"/>
          <w:position w:val="0"/>
          <w:sz w:val="24"/>
          <w:szCs w:val="24"/>
          <w:shd w:val="clear" w:color="auto" w:fill="auto"/>
          <w:lang w:val="ru-RU" w:eastAsia="ru-RU" w:bidi="ru-RU"/>
        </w:rPr>
        <w:t>ООО «Три богатыря»</w:t>
      </w:r>
      <w:bookmarkEnd w:id="3"/>
    </w:p>
    <w:p>
      <w:pPr>
        <w:pStyle w:val="Style12"/>
        <w:keepNext/>
        <w:keepLines/>
        <w:widowControl w:val="0"/>
        <w:shd w:val="clear" w:color="auto" w:fill="auto"/>
        <w:bidi w:val="0"/>
        <w:spacing w:before="0" w:after="0" w:line="240" w:lineRule="auto"/>
        <w:ind w:left="460" w:right="0" w:firstLine="40"/>
        <w:jc w:val="left"/>
      </w:pPr>
      <w:r>
        <w:rPr>
          <w:color w:val="000000"/>
          <w:spacing w:val="0"/>
          <w:w w:val="100"/>
          <w:position w:val="0"/>
          <w:sz w:val="24"/>
          <w:szCs w:val="24"/>
          <w:shd w:val="clear" w:color="auto" w:fill="auto"/>
          <w:lang w:val="ru-RU" w:eastAsia="ru-RU" w:bidi="ru-RU"/>
        </w:rPr>
        <w:t>(далее - Заявитель-2)</w:t>
      </w:r>
    </w:p>
    <w:p>
      <w:pPr>
        <w:pStyle w:val="Style10"/>
        <w:keepNext w:val="0"/>
        <w:keepLines w:val="0"/>
        <w:widowControl w:val="0"/>
        <w:shd w:val="clear" w:color="auto" w:fill="auto"/>
        <w:bidi w:val="0"/>
        <w:spacing w:before="0" w:after="0" w:line="240" w:lineRule="auto"/>
        <w:ind w:left="460" w:right="0" w:firstLine="40"/>
        <w:jc w:val="left"/>
      </w:pPr>
      <w:r>
        <w:rPr>
          <w:color w:val="000000"/>
          <w:spacing w:val="0"/>
          <w:w w:val="100"/>
          <w:position w:val="0"/>
          <w:sz w:val="24"/>
          <w:szCs w:val="24"/>
          <w:shd w:val="clear" w:color="auto" w:fill="auto"/>
          <w:lang w:val="ru-RU" w:eastAsia="ru-RU" w:bidi="ru-RU"/>
        </w:rPr>
        <w:t>пр-кт Невский, д. 140, литер А, помещение 22Н, 24Н, офис 3, г. Санкт-Петербург, 191036</w:t>
      </w:r>
    </w:p>
    <w:p>
      <w:pPr>
        <w:pStyle w:val="Style10"/>
        <w:keepNext w:val="0"/>
        <w:keepLines w:val="0"/>
        <w:widowControl w:val="0"/>
        <w:shd w:val="clear" w:color="auto" w:fill="auto"/>
        <w:bidi w:val="0"/>
        <w:spacing w:before="0" w:after="240" w:line="240" w:lineRule="auto"/>
        <w:ind w:left="0" w:right="0" w:firstLine="460"/>
        <w:jc w:val="left"/>
      </w:pPr>
      <w:r>
        <w:rPr>
          <w:color w:val="000000"/>
          <w:spacing w:val="0"/>
          <w:w w:val="100"/>
          <w:position w:val="0"/>
          <w:sz w:val="24"/>
          <w:szCs w:val="24"/>
          <w:shd w:val="clear" w:color="auto" w:fill="auto"/>
          <w:lang w:val="ru-RU" w:eastAsia="ru-RU" w:bidi="ru-RU"/>
        </w:rPr>
        <w:t>ЕтаП: ТЬ.Но1Шпд@таП.ш</w:t>
      </w:r>
    </w:p>
    <w:p>
      <w:pPr>
        <w:pStyle w:val="Style12"/>
        <w:keepNext/>
        <w:keepLines/>
        <w:widowControl w:val="0"/>
        <w:shd w:val="clear" w:color="auto" w:fill="auto"/>
        <w:bidi w:val="0"/>
        <w:spacing w:before="0" w:after="0" w:line="240" w:lineRule="auto"/>
        <w:ind w:left="460" w:right="0" w:firstLine="40"/>
        <w:jc w:val="left"/>
      </w:pPr>
      <w:bookmarkStart w:id="6" w:name="bookmark6"/>
      <w:r>
        <w:rPr>
          <w:color w:val="000000"/>
          <w:spacing w:val="0"/>
          <w:w w:val="100"/>
          <w:position w:val="0"/>
          <w:sz w:val="24"/>
          <w:szCs w:val="24"/>
          <w:shd w:val="clear" w:color="auto" w:fill="auto"/>
          <w:lang w:val="ru-RU" w:eastAsia="ru-RU" w:bidi="ru-RU"/>
        </w:rPr>
        <w:t>МКУ г. Новошахтинска «Управление капитального строительства»</w:t>
      </w:r>
      <w:bookmarkEnd w:id="6"/>
    </w:p>
    <w:p>
      <w:pPr>
        <w:pStyle w:val="Style12"/>
        <w:keepNext/>
        <w:keepLines/>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ru-RU" w:eastAsia="ru-RU" w:bidi="ru-RU"/>
        </w:rPr>
        <w:t>(далее - Заказчик)</w:t>
      </w:r>
    </w:p>
    <w:p>
      <w:pPr>
        <w:pStyle w:val="Style10"/>
        <w:keepNext w:val="0"/>
        <w:keepLines w:val="0"/>
        <w:widowControl w:val="0"/>
        <w:shd w:val="clear" w:color="auto" w:fill="auto"/>
        <w:bidi w:val="0"/>
        <w:spacing w:before="0" w:after="0" w:line="240" w:lineRule="auto"/>
        <w:ind w:left="4720" w:right="0" w:firstLine="0"/>
        <w:jc w:val="left"/>
      </w:pPr>
      <w:r>
        <w:rPr>
          <w:color w:val="000000"/>
          <w:spacing w:val="0"/>
          <w:w w:val="100"/>
          <w:position w:val="0"/>
          <w:sz w:val="24"/>
          <w:szCs w:val="24"/>
          <w:shd w:val="clear" w:color="auto" w:fill="auto"/>
          <w:lang w:val="ru-RU" w:eastAsia="ru-RU" w:bidi="ru-RU"/>
        </w:rPr>
        <w:t>ул. Харьковская, д. 133, г. Новошахтинск, Ростовская область, 346900</w:t>
      </w:r>
    </w:p>
    <w:p>
      <w:pPr>
        <w:pStyle w:val="Style10"/>
        <w:keepNext w:val="0"/>
        <w:keepLines w:val="0"/>
        <w:widowControl w:val="0"/>
        <w:shd w:val="clear" w:color="auto" w:fill="auto"/>
        <w:bidi w:val="0"/>
        <w:spacing w:before="0" w:after="240" w:line="240" w:lineRule="auto"/>
        <w:ind w:left="4720" w:right="0" w:firstLine="0"/>
        <w:jc w:val="left"/>
      </w:pPr>
      <w:r>
        <w:rPr>
          <w:color w:val="000000"/>
          <w:spacing w:val="0"/>
          <w:w w:val="100"/>
          <w:position w:val="0"/>
          <w:sz w:val="24"/>
          <w:szCs w:val="24"/>
          <w:shd w:val="clear" w:color="auto" w:fill="auto"/>
          <w:lang w:val="ru-RU" w:eastAsia="ru-RU" w:bidi="ru-RU"/>
        </w:rPr>
        <w:t>ЕтаП: ик8поV@та^^ш</w:t>
      </w:r>
    </w:p>
    <w:p>
      <w:pPr>
        <w:pStyle w:val="Style12"/>
        <w:keepNext/>
        <w:keepLines/>
        <w:widowControl w:val="0"/>
        <w:shd w:val="clear" w:color="auto" w:fill="auto"/>
        <w:bidi w:val="0"/>
        <w:spacing w:before="0" w:after="0" w:line="240" w:lineRule="auto"/>
        <w:ind w:left="4720" w:right="0" w:firstLine="0"/>
        <w:jc w:val="left"/>
      </w:pPr>
      <w:bookmarkStart w:id="9" w:name="bookmark9"/>
      <w:r>
        <w:rPr>
          <w:color w:val="000000"/>
          <w:spacing w:val="0"/>
          <w:w w:val="100"/>
          <w:position w:val="0"/>
          <w:sz w:val="24"/>
          <w:szCs w:val="24"/>
          <w:shd w:val="clear" w:color="auto" w:fill="auto"/>
          <w:lang w:val="ru-RU" w:eastAsia="ru-RU" w:bidi="ru-RU"/>
        </w:rPr>
        <w:t>АО «ЕЭТП»</w:t>
      </w:r>
      <w:bookmarkEnd w:id="9"/>
    </w:p>
    <w:p>
      <w:pPr>
        <w:pStyle w:val="Style12"/>
        <w:keepNext/>
        <w:keepLines/>
        <w:widowControl w:val="0"/>
        <w:shd w:val="clear" w:color="auto" w:fill="auto"/>
        <w:bidi w:val="0"/>
        <w:spacing w:before="0" w:after="0" w:line="240" w:lineRule="auto"/>
        <w:ind w:left="4720" w:right="0" w:firstLine="0"/>
        <w:jc w:val="left"/>
      </w:pPr>
      <w:bookmarkStart w:id="11" w:name="bookmark11"/>
      <w:r>
        <w:rPr>
          <w:color w:val="000000"/>
          <w:spacing w:val="0"/>
          <w:w w:val="100"/>
          <w:position w:val="0"/>
          <w:sz w:val="24"/>
          <w:szCs w:val="24"/>
          <w:shd w:val="clear" w:color="auto" w:fill="auto"/>
          <w:lang w:val="ru-RU" w:eastAsia="ru-RU" w:bidi="ru-RU"/>
        </w:rPr>
        <w:t>(далее - Оператор электронной площадки)</w:t>
      </w:r>
      <w:bookmarkEnd w:id="11"/>
    </w:p>
    <w:p>
      <w:pPr>
        <w:pStyle w:val="Style10"/>
        <w:keepNext w:val="0"/>
        <w:keepLines w:val="0"/>
        <w:widowControl w:val="0"/>
        <w:shd w:val="clear" w:color="auto" w:fill="auto"/>
        <w:bidi w:val="0"/>
        <w:spacing w:before="0" w:after="1100" w:line="240" w:lineRule="auto"/>
        <w:ind w:left="4720" w:right="0" w:firstLine="0"/>
        <w:jc w:val="left"/>
      </w:pPr>
      <w:r>
        <w:rPr>
          <w:color w:val="000000"/>
          <w:spacing w:val="0"/>
          <w:w w:val="100"/>
          <w:position w:val="0"/>
          <w:sz w:val="24"/>
          <w:szCs w:val="24"/>
          <w:shd w:val="clear" w:color="auto" w:fill="auto"/>
          <w:lang w:val="ru-RU" w:eastAsia="ru-RU" w:bidi="ru-RU"/>
        </w:rPr>
        <w:t>ЕтаП: ко@го8е11огд.ги , тГо@го8е11огд.ги</w:t>
      </w:r>
    </w:p>
    <w:p>
      <w:pPr>
        <w:pStyle w:val="Style12"/>
        <w:keepNext/>
        <w:keepLines/>
        <w:widowControl w:val="0"/>
        <w:shd w:val="clear" w:color="auto" w:fill="auto"/>
        <w:bidi w:val="0"/>
        <w:spacing w:before="0" w:after="0" w:line="240" w:lineRule="auto"/>
        <w:ind w:left="0" w:right="0" w:firstLine="0"/>
        <w:jc w:val="center"/>
      </w:pPr>
      <w:bookmarkStart w:id="13" w:name="bookmark13"/>
      <w:r>
        <w:rPr>
          <w:color w:val="000000"/>
          <w:spacing w:val="0"/>
          <w:w w:val="100"/>
          <w:position w:val="0"/>
          <w:sz w:val="24"/>
          <w:szCs w:val="24"/>
          <w:shd w:val="clear" w:color="auto" w:fill="auto"/>
          <w:lang w:val="ru-RU" w:eastAsia="ru-RU" w:bidi="ru-RU"/>
        </w:rPr>
        <w:t>РЕШЕНИЕ</w:t>
        <w:br/>
        <w:t>по результатам рассмотрения дел</w:t>
        <w:br/>
        <w:t>№061/06/48-3421/2024, №061/06/48-3442/2024</w:t>
      </w:r>
      <w:bookmarkEnd w:id="13"/>
    </w:p>
    <w:p>
      <w:pPr>
        <w:pStyle w:val="Style10"/>
        <w:keepNext w:val="0"/>
        <w:keepLines w:val="0"/>
        <w:widowControl w:val="0"/>
        <w:shd w:val="clear" w:color="auto" w:fill="auto"/>
        <w:tabs>
          <w:tab w:pos="844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28.08.2024</w:t>
        <w:tab/>
        <w:t>г. Ростов-на-Дону</w:t>
      </w:r>
    </w:p>
    <w:p>
      <w:pPr>
        <w:pStyle w:val="Style10"/>
        <w:keepNext w:val="0"/>
        <w:keepLines w:val="0"/>
        <w:widowControl w:val="0"/>
        <w:shd w:val="clear" w:color="auto" w:fill="auto"/>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40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240" w:line="240" w:lineRule="auto"/>
        <w:ind w:left="0" w:right="0" w:firstLine="500"/>
        <w:jc w:val="both"/>
      </w:pPr>
      <w:r>
        <w:rPr>
          <w:color w:val="000000"/>
          <w:spacing w:val="0"/>
          <w:w w:val="100"/>
          <w:position w:val="0"/>
          <w:sz w:val="24"/>
          <w:szCs w:val="24"/>
          <w:shd w:val="clear" w:color="auto" w:fill="auto"/>
          <w:lang w:val="ru-RU" w:eastAsia="ru-RU" w:bidi="ru-RU"/>
        </w:rPr>
        <w:t xml:space="preserve">рассмотрев дела №061/06/48-3421/2024, №061/06/48-3442/2024 по жалобам Заявителей о нарушении конкурсной комиссией Заказчика при проведении открытого конкурса в электронной форме №0858300001724000004 «Выполнение мероприятий по сносу расселенных, ветхих многоквартирных домов по ул. Батурина, 10, ул. Батурина, 18, ул. Батурина, 18-а, ул. Батурина, 20, ул. Нахимова, 3, ул. Нахимова, 5, ул. Нахимова, 9, ул. Нахимова, 11, ул. Нахимова, 18, ул. Полевая, 32, ул. Рабоче-Крестьянская, 16, ул. Щорса 17 в городе Новошахтинске»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Голубевой О.В. (доверенность от 14.05.2024), представителя Заявителя-2 — Абьян С.А. (директор, выписка ЕГРЮЛ), Ивановой А.И. (доверенность от 24.09.2024), в отсутствие Заявителя-1, </w:t>
      </w:r>
      <w:r>
        <w:rPr>
          <w:color w:val="000000"/>
          <w:spacing w:val="0"/>
          <w:w w:val="100"/>
          <w:position w:val="0"/>
          <w:sz w:val="24"/>
          <w:szCs w:val="24"/>
          <w:shd w:val="clear" w:color="auto" w:fill="auto"/>
          <w:lang w:val="ru-RU" w:eastAsia="ru-RU" w:bidi="ru-RU"/>
        </w:rPr>
        <w:t>уведомленного надлежащим образом (ходатайств не поступало),</w:t>
      </w:r>
    </w:p>
    <w:p>
      <w:pPr>
        <w:pStyle w:val="Style12"/>
        <w:keepNext/>
        <w:keepLines/>
        <w:widowControl w:val="0"/>
        <w:shd w:val="clear" w:color="auto" w:fill="auto"/>
        <w:bidi w:val="0"/>
        <w:spacing w:before="0" w:after="240" w:line="240" w:lineRule="auto"/>
        <w:ind w:left="0" w:right="0" w:firstLine="0"/>
        <w:jc w:val="center"/>
      </w:pPr>
      <w:bookmarkStart w:id="15" w:name="bookmark15"/>
      <w:r>
        <w:rPr>
          <w:color w:val="000000"/>
          <w:spacing w:val="0"/>
          <w:w w:val="100"/>
          <w:position w:val="0"/>
          <w:sz w:val="24"/>
          <w:szCs w:val="24"/>
          <w:shd w:val="clear" w:color="auto" w:fill="auto"/>
          <w:lang w:val="ru-RU" w:eastAsia="ru-RU" w:bidi="ru-RU"/>
        </w:rPr>
        <w:t>УСТАНОВИЛА:</w:t>
      </w:r>
      <w:bookmarkEnd w:id="15"/>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Ростовское УФАС России поступили жалобы ООО «Техносервис», ООО «Три богатыря» на действия конкурсной комиссии МКУ г. Новошахтинска «Управление капитального строительства» при применении порядка оценки заявок на участие в конкурсе.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0"/>
        <w:keepNext w:val="0"/>
        <w:keepLines w:val="0"/>
        <w:widowControl w:val="0"/>
        <w:numPr>
          <w:ilvl w:val="0"/>
          <w:numId w:val="1"/>
        </w:numPr>
        <w:shd w:val="clear" w:color="auto" w:fill="auto"/>
        <w:tabs>
          <w:tab w:pos="84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отрицал нарушения Закона в действия конкурсной комиссии;</w:t>
      </w:r>
    </w:p>
    <w:p>
      <w:pPr>
        <w:pStyle w:val="Style10"/>
        <w:keepNext w:val="0"/>
        <w:keepLines w:val="0"/>
        <w:widowControl w:val="0"/>
        <w:numPr>
          <w:ilvl w:val="0"/>
          <w:numId w:val="1"/>
        </w:numPr>
        <w:shd w:val="clear" w:color="auto" w:fill="auto"/>
        <w:tabs>
          <w:tab w:pos="842"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30.07.2024, (08.08.2024, 05.09.2024 внесены изменения) согласно которым:</w:t>
      </w:r>
    </w:p>
    <w:p>
      <w:pPr>
        <w:pStyle w:val="Style10"/>
        <w:keepNext w:val="0"/>
        <w:keepLines w:val="0"/>
        <w:widowControl w:val="0"/>
        <w:numPr>
          <w:ilvl w:val="0"/>
          <w:numId w:val="1"/>
        </w:numPr>
        <w:shd w:val="clear" w:color="auto" w:fill="auto"/>
        <w:tabs>
          <w:tab w:pos="84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- 15.09.2024 07:00 (МСК);</w:t>
      </w:r>
    </w:p>
    <w:p>
      <w:pPr>
        <w:pStyle w:val="Style10"/>
        <w:keepNext w:val="0"/>
        <w:keepLines w:val="0"/>
        <w:widowControl w:val="0"/>
        <w:numPr>
          <w:ilvl w:val="0"/>
          <w:numId w:val="1"/>
        </w:numPr>
        <w:shd w:val="clear" w:color="auto" w:fill="auto"/>
        <w:tabs>
          <w:tab w:pos="84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41 397 773, 90 рублей.</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16.09.2024 №ПРОП1 на участие в закупке подано 5 (пять) заявок; 4 (четыре) из которых признаны соответствующими требованиям Закона и извещения; оценка заявки Заявителей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осуществлена следующим образом:</w:t>
      </w:r>
    </w:p>
    <w:tbl>
      <w:tblPr>
        <w:tblOverlap w:val="never"/>
        <w:jc w:val="center"/>
        <w:tblLayout w:type="fixed"/>
      </w:tblPr>
      <w:tblGrid>
        <w:gridCol w:w="1238"/>
        <w:gridCol w:w="4378"/>
        <w:gridCol w:w="4603"/>
      </w:tblGrid>
      <w:tr>
        <w:trPr>
          <w:trHeight w:val="883" w:hRule="exact"/>
        </w:trPr>
        <w:tc>
          <w:tcPr>
            <w:gridSpan w:val="3"/>
            <w:tcBorders>
              <w:top w:val="single" w:sz="4"/>
              <w:left w:val="single" w:sz="4"/>
              <w:right w:val="single" w:sz="4"/>
            </w:tcBorders>
            <w:shd w:val="clear" w:color="auto" w:fill="E0E4ED"/>
            <w:vAlign w:val="top"/>
          </w:tcPr>
          <w:p>
            <w:pPr>
              <w:pStyle w:val="Style19"/>
              <w:keepNext w:val="0"/>
              <w:keepLines w:val="0"/>
              <w:widowControl w:val="0"/>
              <w:shd w:val="clear" w:color="auto" w:fill="auto"/>
              <w:tabs>
                <w:tab w:pos="1147" w:val="left"/>
              </w:tabs>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Номер</w:t>
              <w:tab/>
              <w:t>Оценка второй части заявки, по критерию Итоговая оценка второй части заявки, по</w:t>
            </w:r>
          </w:p>
          <w:p>
            <w:pPr>
              <w:pStyle w:val="Style19"/>
              <w:keepNext w:val="0"/>
              <w:keepLines w:val="0"/>
              <w:widowControl w:val="0"/>
              <w:shd w:val="clear" w:color="auto" w:fill="auto"/>
              <w:tabs>
                <w:tab w:pos="1147" w:val="left"/>
              </w:tabs>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заявки</w:t>
              <w:tab/>
              <w:t>предусмотренному п.4 ч.1. ст.32 Закона № 44-критерию предусмотренному п.4 ч.1. ст.32</w:t>
            </w:r>
          </w:p>
          <w:p>
            <w:pPr>
              <w:pStyle w:val="Style19"/>
              <w:keepNext w:val="0"/>
              <w:keepLines w:val="0"/>
              <w:widowControl w:val="0"/>
              <w:shd w:val="clear" w:color="auto" w:fill="auto"/>
              <w:tabs>
                <w:tab w:pos="5608" w:val="left"/>
              </w:tabs>
              <w:bidi w:val="0"/>
              <w:spacing w:before="0" w:after="0" w:line="240" w:lineRule="auto"/>
              <w:ind w:left="1240" w:right="0" w:firstLine="0"/>
              <w:jc w:val="left"/>
              <w:rPr>
                <w:sz w:val="20"/>
                <w:szCs w:val="20"/>
              </w:rPr>
            </w:pPr>
            <w:r>
              <w:rPr>
                <w:b/>
                <w:bCs/>
                <w:color w:val="000000"/>
                <w:spacing w:val="0"/>
                <w:w w:val="100"/>
                <w:position w:val="0"/>
                <w:sz w:val="20"/>
                <w:szCs w:val="20"/>
                <w:shd w:val="clear" w:color="auto" w:fill="auto"/>
                <w:lang w:val="ru-RU" w:eastAsia="ru-RU" w:bidi="ru-RU"/>
              </w:rPr>
              <w:t>ФЗ</w:t>
              <w:tab/>
              <w:t>Закона № 44-ФЗ</w:t>
            </w:r>
          </w:p>
        </w:tc>
      </w:tr>
      <w:tr>
        <w:trPr>
          <w:trHeight w:val="384" w:hRule="exact"/>
        </w:trPr>
        <w:tc>
          <w:tcPr>
            <w:vMerge w:val="restart"/>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974059</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r>
      <w:tr>
        <w:trPr>
          <w:trHeight w:val="389"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r>
      <w:tr>
        <w:trPr>
          <w:trHeight w:val="39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0.00</w:t>
            </w:r>
          </w:p>
        </w:tc>
      </w:tr>
    </w:tbl>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Заявители полагает, что действия конкурсной комиссии Заказчика не соответствуют Положению, порядку рассмотрения и оценки заявок на участие в конкурсе ввиду непринятия к оценке представленных в качестве наличия опыта контрактов.</w:t>
      </w:r>
    </w:p>
    <w:p>
      <w:pPr>
        <w:widowControl w:val="0"/>
        <w:spacing w:after="179" w:line="1" w:lineRule="exact"/>
      </w:pP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при принятии решения руководствуется следующим.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п./п.б) п.1 ч.11 ст.48 Закона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п.4 ч.2 ст.42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порядок рассмотрения и оценки заявок на участие в конкурсах в соответствии с настоящим Федеральным законом.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Положение об оценке заявок на участие в закупке товаров, работ, услуг для обеспечения </w:t>
      </w:r>
      <w:r>
        <w:rPr>
          <w:color w:val="000000"/>
          <w:spacing w:val="0"/>
          <w:w w:val="100"/>
          <w:position w:val="0"/>
          <w:sz w:val="24"/>
          <w:szCs w:val="24"/>
          <w:shd w:val="clear" w:color="auto" w:fill="auto"/>
          <w:lang w:val="ru-RU" w:eastAsia="ru-RU" w:bidi="ru-RU"/>
        </w:rPr>
        <w:t>государственных и муниципальных нужд, утверждено Постановлением Правительства РФ от 31.12.2021 г. № 2604 (далее — Положение).</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силу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соответствии с п.3 Положения для оценки заявок в соответствии с настоящим Положением применяются следующие критерии оценки:</w:t>
      </w:r>
    </w:p>
    <w:p>
      <w:pPr>
        <w:pStyle w:val="Style10"/>
        <w:keepNext w:val="0"/>
        <w:keepLines w:val="0"/>
        <w:widowControl w:val="0"/>
        <w:numPr>
          <w:ilvl w:val="0"/>
          <w:numId w:val="3"/>
        </w:numPr>
        <w:shd w:val="clear" w:color="auto" w:fill="auto"/>
        <w:tabs>
          <w:tab w:pos="98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0"/>
        <w:keepNext w:val="0"/>
        <w:keepLines w:val="0"/>
        <w:widowControl w:val="0"/>
        <w:numPr>
          <w:ilvl w:val="0"/>
          <w:numId w:val="3"/>
        </w:numPr>
        <w:shd w:val="clear" w:color="auto" w:fill="auto"/>
        <w:tabs>
          <w:tab w:pos="1002"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расходы;</w:t>
      </w:r>
    </w:p>
    <w:p>
      <w:pPr>
        <w:pStyle w:val="Style10"/>
        <w:keepNext w:val="0"/>
        <w:keepLines w:val="0"/>
        <w:widowControl w:val="0"/>
        <w:numPr>
          <w:ilvl w:val="0"/>
          <w:numId w:val="3"/>
        </w:numPr>
        <w:shd w:val="clear" w:color="auto" w:fill="auto"/>
        <w:tabs>
          <w:tab w:pos="99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0"/>
        <w:keepNext w:val="0"/>
        <w:keepLines w:val="0"/>
        <w:widowControl w:val="0"/>
        <w:numPr>
          <w:ilvl w:val="0"/>
          <w:numId w:val="3"/>
        </w:numPr>
        <w:shd w:val="clear" w:color="auto" w:fill="auto"/>
        <w:tabs>
          <w:tab w:pos="983"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силу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0"/>
        <w:keepNext w:val="0"/>
        <w:keepLines w:val="0"/>
        <w:widowControl w:val="0"/>
        <w:numPr>
          <w:ilvl w:val="0"/>
          <w:numId w:val="5"/>
        </w:numPr>
        <w:shd w:val="clear" w:color="auto" w:fill="auto"/>
        <w:tabs>
          <w:tab w:pos="98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0"/>
        <w:keepNext w:val="0"/>
        <w:keepLines w:val="0"/>
        <w:widowControl w:val="0"/>
        <w:numPr>
          <w:ilvl w:val="0"/>
          <w:numId w:val="5"/>
        </w:numPr>
        <w:shd w:val="clear" w:color="auto" w:fill="auto"/>
        <w:tabs>
          <w:tab w:pos="95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0"/>
        <w:keepNext w:val="0"/>
        <w:keepLines w:val="0"/>
        <w:widowControl w:val="0"/>
        <w:numPr>
          <w:ilvl w:val="0"/>
          <w:numId w:val="5"/>
        </w:numPr>
        <w:shd w:val="clear" w:color="auto" w:fill="auto"/>
        <w:tabs>
          <w:tab w:pos="949"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0"/>
        <w:keepNext w:val="0"/>
        <w:keepLines w:val="0"/>
        <w:widowControl w:val="0"/>
        <w:numPr>
          <w:ilvl w:val="0"/>
          <w:numId w:val="5"/>
        </w:numPr>
        <w:shd w:val="clear" w:color="auto" w:fill="auto"/>
        <w:tabs>
          <w:tab w:pos="983"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0"/>
        <w:keepNext w:val="0"/>
        <w:keepLines w:val="0"/>
        <w:widowControl w:val="0"/>
        <w:numPr>
          <w:ilvl w:val="0"/>
          <w:numId w:val="5"/>
        </w:numPr>
        <w:shd w:val="clear" w:color="auto" w:fill="auto"/>
        <w:tabs>
          <w:tab w:pos="95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Для оценки заявок по показателям оценки, предусмотренным пунктом 24 настоящего Положения, применяются детализирующие показатели (п.25 Положения).</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 (п.26 Положения).</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Согласно п.28 Положения в случае применения показателя оценки, предусмотренного подпунктом «в» пункта 24 настоящего Положения:</w:t>
      </w:r>
    </w:p>
    <w:p>
      <w:pPr>
        <w:pStyle w:val="Style10"/>
        <w:keepNext w:val="0"/>
        <w:keepLines w:val="0"/>
        <w:widowControl w:val="0"/>
        <w:numPr>
          <w:ilvl w:val="0"/>
          <w:numId w:val="7"/>
        </w:numPr>
        <w:shd w:val="clear" w:color="auto" w:fill="auto"/>
        <w:tabs>
          <w:tab w:pos="98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0"/>
        <w:keepNext w:val="0"/>
        <w:keepLines w:val="0"/>
        <w:widowControl w:val="0"/>
        <w:numPr>
          <w:ilvl w:val="0"/>
          <w:numId w:val="7"/>
        </w:numPr>
        <w:shd w:val="clear" w:color="auto" w:fill="auto"/>
        <w:tabs>
          <w:tab w:pos="949"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pPr>
        <w:pStyle w:val="Style10"/>
        <w:keepNext w:val="0"/>
        <w:keepLines w:val="0"/>
        <w:widowControl w:val="0"/>
        <w:numPr>
          <w:ilvl w:val="0"/>
          <w:numId w:val="7"/>
        </w:numPr>
        <w:shd w:val="clear" w:color="auto" w:fill="auto"/>
        <w:tabs>
          <w:tab w:pos="993"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документом, предусмотренным приложением № 1 к настоящему Положению:</w:t>
      </w:r>
    </w:p>
    <w:p>
      <w:pPr>
        <w:pStyle w:val="Style10"/>
        <w:keepNext w:val="0"/>
        <w:keepLines w:val="0"/>
        <w:widowControl w:val="0"/>
        <w:numPr>
          <w:ilvl w:val="0"/>
          <w:numId w:val="9"/>
        </w:numPr>
        <w:shd w:val="clear" w:color="auto" w:fill="auto"/>
        <w:tabs>
          <w:tab w:pos="83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0"/>
        <w:keepNext w:val="0"/>
        <w:keepLines w:val="0"/>
        <w:widowControl w:val="0"/>
        <w:numPr>
          <w:ilvl w:val="0"/>
          <w:numId w:val="9"/>
        </w:numPr>
        <w:shd w:val="clear" w:color="auto" w:fill="auto"/>
        <w:tabs>
          <w:tab w:pos="83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0"/>
        <w:keepNext w:val="0"/>
        <w:keepLines w:val="0"/>
        <w:widowControl w:val="0"/>
        <w:numPr>
          <w:ilvl w:val="0"/>
          <w:numId w:val="9"/>
        </w:numPr>
        <w:shd w:val="clear" w:color="auto" w:fill="auto"/>
        <w:tabs>
          <w:tab w:pos="83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0"/>
        <w:keepNext w:val="0"/>
        <w:keepLines w:val="0"/>
        <w:widowControl w:val="0"/>
        <w:numPr>
          <w:ilvl w:val="0"/>
          <w:numId w:val="7"/>
        </w:numPr>
        <w:shd w:val="clear" w:color="auto" w:fill="auto"/>
        <w:tabs>
          <w:tab w:pos="93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0"/>
        <w:keepNext w:val="0"/>
        <w:keepLines w:val="0"/>
        <w:widowControl w:val="0"/>
        <w:numPr>
          <w:ilvl w:val="0"/>
          <w:numId w:val="7"/>
        </w:numPr>
        <w:shd w:val="clear" w:color="auto" w:fill="auto"/>
        <w:tabs>
          <w:tab w:pos="387"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к оценке принимаются исполненные участником закупки с учетом правопреемства (в </w:t>
      </w:r>
      <w:r>
        <w:rPr>
          <w:color w:val="000000"/>
          <w:spacing w:val="0"/>
          <w:w w:val="100"/>
          <w:position w:val="0"/>
          <w:sz w:val="24"/>
          <w:szCs w:val="24"/>
          <w:shd w:val="clear" w:color="auto" w:fill="auto"/>
          <w:lang w:val="ru-RU" w:eastAsia="ru-RU" w:bidi="ru-RU"/>
        </w:rPr>
        <w:t>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0"/>
        <w:keepNext w:val="0"/>
        <w:keepLines w:val="0"/>
        <w:widowControl w:val="0"/>
        <w:numPr>
          <w:ilvl w:val="0"/>
          <w:numId w:val="7"/>
        </w:numPr>
        <w:shd w:val="clear" w:color="auto" w:fill="auto"/>
        <w:tabs>
          <w:tab w:pos="88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Исходя из правовой позиции, изложенной в определениях судебной коллегии по экономическим спорам Верховного Суда Российской Федерации от 18.11.2019 ^ 307-ЭС19-12629, от 27.02.2020 ^ 307-ЭС19-21226,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 качественном и своевременном выполнении работ, учитывая специфику объекта закупки.</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Согласно Порядку рассмотрения и оценки заявок на участие в конкурсе (далее — Порядок) Заказчиком установлено: </w:t>
      </w:r>
      <w:r>
        <w:rPr>
          <w:i/>
          <w:iCs/>
          <w:color w:val="000000"/>
          <w:spacing w:val="0"/>
          <w:w w:val="100"/>
          <w:position w:val="0"/>
          <w:sz w:val="24"/>
          <w:szCs w:val="24"/>
          <w:shd w:val="clear" w:color="auto" w:fill="auto"/>
          <w:lang w:val="ru-RU" w:eastAsia="ru-RU" w:bidi="ru-RU"/>
        </w:rPr>
        <w:t>«Наличие исполненного договора (контракта), предусматривающего выполнение работ:</w:t>
      </w:r>
    </w:p>
    <w:p>
      <w:pPr>
        <w:pStyle w:val="Style10"/>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 xml:space="preserve">- под контрактом (договором) опыта выполнения работы связанного с предметом контракта для оценки понимаются контракт (договор) по аналогичным видам работ (услуг), а именно: </w:t>
      </w:r>
      <w:r>
        <w:rPr>
          <w:i/>
          <w:iCs/>
          <w:color w:val="000000"/>
          <w:spacing w:val="0"/>
          <w:w w:val="100"/>
          <w:position w:val="0"/>
          <w:sz w:val="24"/>
          <w:szCs w:val="24"/>
          <w:u w:val="single"/>
          <w:shd w:val="clear" w:color="auto" w:fill="auto"/>
          <w:lang w:val="ru-RU" w:eastAsia="ru-RU" w:bidi="ru-RU"/>
        </w:rPr>
        <w:t>по выполнению работ по строительству, реконструкции, капитальному ремонту, сносу , объектов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Перечень документов, подтверждающих наличие у участника закупки опыта выполнения работы.</w:t>
      </w:r>
    </w:p>
    <w:p>
      <w:pPr>
        <w:pStyle w:val="Style10"/>
        <w:keepNext w:val="0"/>
        <w:keepLines w:val="0"/>
        <w:widowControl w:val="0"/>
        <w:numPr>
          <w:ilvl w:val="0"/>
          <w:numId w:val="11"/>
        </w:numPr>
        <w:shd w:val="clear" w:color="auto" w:fill="auto"/>
        <w:tabs>
          <w:tab w:pos="928"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исполненный договор;</w:t>
      </w:r>
    </w:p>
    <w:p>
      <w:pPr>
        <w:pStyle w:val="Style10"/>
        <w:keepNext w:val="0"/>
        <w:keepLines w:val="0"/>
        <w:widowControl w:val="0"/>
        <w:numPr>
          <w:ilvl w:val="0"/>
          <w:numId w:val="11"/>
        </w:numPr>
        <w:shd w:val="clear" w:color="auto" w:fill="auto"/>
        <w:tabs>
          <w:tab w:pos="894"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pPr>
        <w:pStyle w:val="Style10"/>
        <w:keepNext w:val="0"/>
        <w:keepLines w:val="0"/>
        <w:widowControl w:val="0"/>
        <w:numPr>
          <w:ilvl w:val="0"/>
          <w:numId w:val="11"/>
        </w:numPr>
        <w:shd w:val="clear" w:color="auto" w:fill="auto"/>
        <w:tabs>
          <w:tab w:pos="889"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акт приемки поставленного товара, выполненных работ (форма КС2 и КС3, КС-11 (если требуется в рамках законодательства ), оказанных услуг, составленные при исполнении такого договора (контракта);</w:t>
      </w:r>
    </w:p>
    <w:p>
      <w:pPr>
        <w:pStyle w:val="Style10"/>
        <w:keepNext w:val="0"/>
        <w:keepLines w:val="0"/>
        <w:widowControl w:val="0"/>
        <w:numPr>
          <w:ilvl w:val="0"/>
          <w:numId w:val="13"/>
        </w:numPr>
        <w:shd w:val="clear" w:color="auto" w:fill="auto"/>
        <w:tabs>
          <w:tab w:pos="769"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10"/>
        <w:keepNext w:val="0"/>
        <w:keepLines w:val="0"/>
        <w:widowControl w:val="0"/>
        <w:numPr>
          <w:ilvl w:val="0"/>
          <w:numId w:val="13"/>
        </w:numPr>
        <w:shd w:val="clear" w:color="auto" w:fill="auto"/>
        <w:tabs>
          <w:tab w:pos="774"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pPr>
        <w:pStyle w:val="Style10"/>
        <w:keepNext w:val="0"/>
        <w:keepLines w:val="0"/>
        <w:widowControl w:val="0"/>
        <w:numPr>
          <w:ilvl w:val="0"/>
          <w:numId w:val="13"/>
        </w:numPr>
        <w:shd w:val="clear" w:color="auto" w:fill="auto"/>
        <w:tabs>
          <w:tab w:pos="807"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к оценке принимаются документы: исполненный договор, акт приемки поставленного товара, выполненных работ (форма КС-2 и КС-3, КС-11 (если требуется в рамках законодательства), оказанных услуг, составленные при исполнении такого договора,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 Документы направляются участником закупки в форме электронных документов или в форме электронных образов бумажных документов.».</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Порядком оценки определен образец рекомендуемой формы по квалификации участника закупки.</w:t>
      </w:r>
    </w:p>
    <w:tbl>
      <w:tblPr>
        <w:tblOverlap w:val="never"/>
        <w:jc w:val="center"/>
        <w:tblLayout w:type="fixed"/>
      </w:tblPr>
      <w:tblGrid>
        <w:gridCol w:w="797"/>
        <w:gridCol w:w="1306"/>
        <w:gridCol w:w="1987"/>
        <w:gridCol w:w="1680"/>
        <w:gridCol w:w="1411"/>
        <w:gridCol w:w="1421"/>
        <w:gridCol w:w="1608"/>
      </w:tblGrid>
      <w:tr>
        <w:trPr>
          <w:trHeight w:val="2976"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88" w:lineRule="auto"/>
              <w:ind w:left="0" w:right="0" w:firstLine="0"/>
              <w:jc w:val="center"/>
              <w:rPr>
                <w:sz w:val="20"/>
                <w:szCs w:val="20"/>
              </w:rPr>
            </w:pPr>
            <w:r>
              <w:rPr>
                <w:color w:val="000000"/>
                <w:spacing w:val="0"/>
                <w:w w:val="100"/>
                <w:position w:val="0"/>
                <w:sz w:val="20"/>
                <w:szCs w:val="20"/>
                <w:shd w:val="clear" w:color="auto" w:fill="auto"/>
                <w:lang w:val="ru-RU" w:eastAsia="ru-RU" w:bidi="ru-RU"/>
              </w:rPr>
              <w:t>Номер и дата заключения контракта (договора)</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86" w:lineRule="auto"/>
              <w:ind w:left="0" w:right="0" w:firstLine="0"/>
              <w:jc w:val="center"/>
              <w:rPr>
                <w:sz w:val="20"/>
                <w:szCs w:val="20"/>
              </w:rPr>
            </w:pPr>
            <w:r>
              <w:rPr>
                <w:color w:val="000000"/>
                <w:spacing w:val="0"/>
                <w:w w:val="100"/>
                <w:position w:val="0"/>
                <w:sz w:val="20"/>
                <w:szCs w:val="20"/>
                <w:shd w:val="clear" w:color="auto" w:fill="auto"/>
                <w:lang w:val="ru-RU" w:eastAsia="ru-RU" w:bidi="ru-RU"/>
              </w:rPr>
              <w:t xml:space="preserve">Номер записи в реестре контрактов (реестре договоров) </w:t>
            </w:r>
            <w:r>
              <w:rPr>
                <w:i/>
                <w:iCs/>
                <w:color w:val="000000"/>
                <w:spacing w:val="0"/>
                <w:w w:val="100"/>
                <w:position w:val="0"/>
                <w:sz w:val="20"/>
                <w:szCs w:val="20"/>
                <w:shd w:val="clear" w:color="auto" w:fill="auto"/>
                <w:lang w:val="ru-RU" w:eastAsia="ru-RU" w:bidi="ru-RU"/>
              </w:rPr>
              <w:t>для контрактов (договоров), заключенных в соответствии с 44- ФЗ, 223-ФЗ (при наличии)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86"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предмета контракта (договора)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83" w:lineRule="auto"/>
              <w:ind w:left="0" w:right="0" w:firstLine="0"/>
              <w:jc w:val="center"/>
              <w:rPr>
                <w:sz w:val="20"/>
                <w:szCs w:val="20"/>
              </w:rPr>
            </w:pPr>
            <w:r>
              <w:rPr>
                <w:color w:val="000000"/>
                <w:spacing w:val="0"/>
                <w:w w:val="100"/>
                <w:position w:val="0"/>
                <w:sz w:val="20"/>
                <w:szCs w:val="20"/>
                <w:shd w:val="clear" w:color="auto" w:fill="auto"/>
                <w:lang w:val="ru-RU" w:eastAsia="ru-RU" w:bidi="ru-RU"/>
              </w:rPr>
              <w:t>Сумма контракта (договора), руб.</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86" w:lineRule="auto"/>
              <w:ind w:left="0" w:right="0" w:firstLine="0"/>
              <w:jc w:val="center"/>
              <w:rPr>
                <w:sz w:val="20"/>
                <w:szCs w:val="20"/>
              </w:rPr>
            </w:pPr>
            <w:r>
              <w:rPr>
                <w:color w:val="000000"/>
                <w:spacing w:val="0"/>
                <w:w w:val="100"/>
                <w:position w:val="0"/>
                <w:sz w:val="20"/>
                <w:szCs w:val="20"/>
                <w:shd w:val="clear" w:color="auto" w:fill="auto"/>
                <w:lang w:val="ru-RU" w:eastAsia="ru-RU" w:bidi="ru-RU"/>
              </w:rPr>
              <w:t>Дата исполнения контракта (договора)</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90" w:lineRule="auto"/>
              <w:ind w:left="0" w:right="0" w:firstLine="0"/>
              <w:jc w:val="center"/>
              <w:rPr>
                <w:sz w:val="20"/>
                <w:szCs w:val="20"/>
              </w:rPr>
            </w:pPr>
            <w:r>
              <w:rPr>
                <w:color w:val="000000"/>
                <w:spacing w:val="0"/>
                <w:w w:val="100"/>
                <w:position w:val="0"/>
                <w:sz w:val="20"/>
                <w:szCs w:val="20"/>
                <w:shd w:val="clear" w:color="auto" w:fill="auto"/>
                <w:lang w:val="ru-RU" w:eastAsia="ru-RU" w:bidi="ru-RU"/>
              </w:rPr>
              <w:t>Перечень документов, представленных в подтверждение данных сведений</w:t>
            </w:r>
          </w:p>
        </w:tc>
      </w:tr>
      <w:tr>
        <w:trPr>
          <w:trHeight w:val="350"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99" w:line="1" w:lineRule="exact"/>
      </w:pP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Вышеуказанное положение по своей сути и в указанной Заказчиком формулировке является дополнительным способом подтверждения наличия у участника закупки опыта исполнения контрактов (договоров), при этом сформированный Заказчиком образец, являющийся способом подтверждения наличия у участника закупки опыта исполнения контрактов (договоров) с использованием формулировки «рекомендуемая» свидетельствует об установлении Заказчиком условия о возможности подтверждения опыта исполнения контрактов (договоров) помимо способа, определенного Положением.</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Учитывая указанные положения извещения, Заказчик определил перечень документов, необходимых к предоставлению для подтверждения опыта участника по успешному выполнению работ, оказанию услуг сопоставимого характера и объема, а также порядок их предоставления в составе заявок на участие в конкурсе.</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Обозрев заявки, представленные Оператором, Комиссией Ростовского УФАС России установлено, что участниками закупки в качестве подтверждения опыта представлено 23 контракта (ООО «Техносервис», 21 контракт — ООО «Богатырь». Сведения о наличии соответствующего опыта оформлены участниками в соответствии с образцом, установленным Порядком.</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позиции Заказчика, изложенной в письменных пояснениях, ряд контрактов не принят к оценке со следующим обоснованием:</w:t>
      </w:r>
    </w:p>
    <w:p>
      <w:pPr>
        <w:pStyle w:val="Style10"/>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«Участником ООО «Техносервис» представлено в подтверждение опыта 23 контракта, из которых 20 не были допущены к оценке, по следующим основаниям, согласно таблице «опыт» представленной в составе заявки участника, в контрактах: № 3 отсутствуют приложения № 1 и 4, № 4 отсутствует приложение №4, № 5 представлен не заполненный проект контракта, сам контракт отсутствует, №№7,19,20 контракты расторгнуты, № 8 продублирован и является копией контракта под порядковым номером 2, №9 не соответствует предмету контракта: не является капитальным ремонтом, капитальным строительством, либо сносом объекта капитального строительства, №№ 6, 11,21 выполнены с грубыми нарушениями существенного условия: нарушены сроки выполнения работ, №№ 10,13,16, 18 отсутствует, либо не заполнен акт передачи стройплощадки предусмотренного контрактом, №№12,14.15 отсутствуют ряд приложений к контракту, №17 отсутствует сметный расчёт, №22 в ч.З дополнительного соглашения №3 к договору указана стоимость подлежащих к выполнению работ в размере «46 570 060руб.», а сумма в отчётных документах (кс-2,кс-3) составляет 21 580 430,5 руб.»</w:t>
      </w:r>
    </w:p>
    <w:p>
      <w:pPr>
        <w:pStyle w:val="Style10"/>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«Участником ООО «Три Богатыря» представлен в подтверждение опыта 21 контракт, из которых 18 не были допущены к оценке, по следующим основаниям, согласно таблице «опыт» представленной в составе заявки участника, в контрактах: № 5,6,7,8,9,12,13,15, отсутствуют КС-2 и КС-3, №№3,4,14,18 контракты расторгнуты, № 10 в приложении №1 к контракту пунктом 5.7 договора требуется наличие Лицензии на деятельность по сбору, транспортированию, обработке, утилизации, обезвреживанию, размещению отходов /-IV </w:t>
      </w:r>
      <w:r>
        <w:rPr>
          <w:i/>
          <w:iCs/>
          <w:color w:val="000000"/>
          <w:spacing w:val="0"/>
          <w:w w:val="100"/>
          <w:position w:val="0"/>
          <w:sz w:val="24"/>
          <w:szCs w:val="24"/>
          <w:shd w:val="clear" w:color="auto" w:fill="auto"/>
          <w:lang w:val="ru-RU" w:eastAsia="ru-RU" w:bidi="ru-RU"/>
        </w:rPr>
        <w:t>классов, либо договоров субподряда. Лицензия у участника отсутствует, договора субподряда не представлены, №16 отсутствует КС-3, и приложения к контракту без подписей и печатей, №17 отсутствуют подписи заказчика в КС, № 19 ненадлежащее исполнения обязательств, № 20 отсутствует подпись и печать заказчика в актах».</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Комиссией отмечено, что ряд контрактов заключены участниками по результатам проведения электронных процедур, в связи с чем представлены реестровые номера контрактов. Соответствующие реестровые номера содержат полный перечень документов, в том числе, контракт (со всеми приложениями), акты, подписанные сторонами и подтверждающие исполнение сторонами обязательств. Таким образом, с учетом установленного Заказчиком в Порядке положения о возможности подтверждения наличия опыта реестровой записью, непринятие к оценке указанных контрактов является неправомерным.</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ч.6 ст.34 Закона в случае </w:t>
      </w:r>
      <w:r>
        <w:rPr>
          <w:color w:val="000000"/>
          <w:spacing w:val="0"/>
          <w:w w:val="100"/>
          <w:position w:val="0"/>
          <w:sz w:val="24"/>
          <w:szCs w:val="24"/>
          <w:u w:val="single"/>
          <w:shd w:val="clear" w:color="auto" w:fill="auto"/>
          <w:lang w:val="ru-RU" w:eastAsia="ru-RU" w:bidi="ru-RU"/>
        </w:rPr>
        <w:t>просрочки исполнения поставщиком (подрядчиком, исполнителем) обязательств</w:t>
      </w:r>
      <w:r>
        <w:rPr>
          <w:color w:val="000000"/>
          <w:spacing w:val="0"/>
          <w:w w:val="100"/>
          <w:position w:val="0"/>
          <w:sz w:val="24"/>
          <w:szCs w:val="24"/>
          <w:shd w:val="clear" w:color="auto" w:fill="auto"/>
          <w:lang w:val="ru-RU" w:eastAsia="ru-RU" w:bidi="ru-RU"/>
        </w:rPr>
        <w:t xml:space="preserve">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r>
        <w:rPr>
          <w:color w:val="000000"/>
          <w:spacing w:val="0"/>
          <w:w w:val="100"/>
          <w:position w:val="0"/>
          <w:sz w:val="24"/>
          <w:szCs w:val="24"/>
          <w:u w:val="single"/>
          <w:shd w:val="clear" w:color="auto" w:fill="auto"/>
          <w:lang w:val="ru-RU" w:eastAsia="ru-RU" w:bidi="ru-RU"/>
        </w:rPr>
        <w:t>заказчик направляет поставщику (подрядчику, исполнителю) требование об уплате неустоек (штрафов, пеней).</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Законом предусмотрена мера ответственности поставщика (подрядчика, исполнителя) за просрочку исполнения обязательств по контракту.</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Как указано в определении Судебной коллегии по экономическим спорам Верховного Суда Российской Федерации от 27.02.2020 г. № 307-ЭС19-21226 по делу №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Судебная практика основывается на том факте, что требования о предоставлении в качестве подтверждения опыта участника закупки исполненного договора (договоров) без применения к такому участнику неустоек (штрафов, пеней), является избыточным и неправомерным, поскольку наличие (отсутствие) указанных сведений и документов не могут свидетельствовать об отсутствии у участника закупки требуемого опыта.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Кроме того, такой порядок оценки ограничивает возможность таким участникам закупки получить максимальное количество баллов и не позволяет выявить лучшие условия исполнения государственного контракта.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наличие штрафных санкций не может свидетельствовать об отсутствии у участника закупки требуемого опыта. Также требования об уплате неустойки (штрафов, пеней) могут быть оспорены в судебном порядке. При этом на момент проведения оценки заявок участников закупки судебный процесс, по вопросу правомерности применения штрафных санкций, может быть не окончен.</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Изложенная позиция содержится в определение Верховного Суда РФ от 04.05.2022 ^ 305- ЭС22-5994 по делу ^ А40-61210/2021.</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то же время, учитывая положения абз. 3 пп. "в" п. 28 Положения, Заказчиком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 Исходя из смысла вышеуказанного Положения, оценке подлежат, договор (договоры), подтверждающие наличие у участника закупки соответствующего опыта, при этом наличие штрафных санкций при исполнении такого контракта, договора, не может свидетельствовать об отсутствии у участника закупки опыта.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Указанное положение отсутствует в сформированном Заказчиком Порядке рассмотрения заявок.</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 xml:space="preserve">В связи с чем, действия конкурсной комиссии Заказчика по непринятию таких контрактов </w:t>
      </w:r>
      <w:r>
        <w:rPr>
          <w:color w:val="000000"/>
          <w:spacing w:val="0"/>
          <w:w w:val="100"/>
          <w:position w:val="0"/>
          <w:sz w:val="24"/>
          <w:szCs w:val="24"/>
          <w:shd w:val="clear" w:color="auto" w:fill="auto"/>
          <w:lang w:val="ru-RU" w:eastAsia="ru-RU" w:bidi="ru-RU"/>
        </w:rPr>
        <w:t>к оценке по основаниям, изложенным в письменной позиции, является неправомерным и не соответствует Положению, Порядку.</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силу ч.8 ст.95 Закона расторжение контракта допускается по </w:t>
      </w:r>
      <w:r>
        <w:rPr>
          <w:color w:val="000000"/>
          <w:spacing w:val="0"/>
          <w:w w:val="100"/>
          <w:position w:val="0"/>
          <w:sz w:val="24"/>
          <w:szCs w:val="24"/>
          <w:u w:val="single"/>
          <w:shd w:val="clear" w:color="auto" w:fill="auto"/>
          <w:lang w:val="ru-RU" w:eastAsia="ru-RU" w:bidi="ru-RU"/>
        </w:rPr>
        <w:t xml:space="preserve">соглашению сторон, </w:t>
      </w:r>
      <w:r>
        <w:rPr>
          <w:color w:val="000000"/>
          <w:spacing w:val="0"/>
          <w:w w:val="100"/>
          <w:position w:val="0"/>
          <w:sz w:val="24"/>
          <w:szCs w:val="24"/>
          <w:shd w:val="clear" w:color="auto" w:fill="auto"/>
          <w:lang w:val="ru-RU" w:eastAsia="ru-RU" w:bidi="ru-RU"/>
        </w:rPr>
        <w:t>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Как указано в определении Судебной коллегии по экономическим спорам Верховного Суда Российской Федерации от 16.03.2022 г. № 310-ЭС22-1145 по делу № А54-9347/2020 «расторжение поименованного муниципального контракта по соглашению сторон обусловлено его исполнением и нецелесообразностью продолжения работ на сумму прекращенного обязательства, что свидетельствует об исполнении контракта, выполненные обществом работы соответствуют требованиям контракта и приняты без замечаний со стороны заказчика. В этой связи судами сделан вывод об отсутствии у аукционной комиссии и управления оснований полагать, что расторжение контракта явилось следствием недобросовестного поведения общества».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контракт, расторгнутый по соглашению сторон, не свидетельствует и не может свидетельствовать об отсутствии у участника закупки требуемого опыта работ при наличии актов выполненных работ на необходимую сумму.</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 например, контракт №7- № 1/2021-А (ООО «Техносервис») заключен между сторонами 13.01.2021 на выполнение работ по сносу многоквартирного дома, цена контракта составила 1 264 375, 00 рублей. 19.02.2021 стороны пришли к согласию расторгнуть контракт по соглашению сторон, сумма исполненных обязательств составила 1 110 717, 47 рублей. При этом, взаимные претензии у сторон контракта отсутствовали.</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 учетом изложенного, Комиссия приходит к выводу, что расторжение контракта произошло не по вине Общества, не вызвано неправомерным невыполнением последним каких-либо возложенных на него обязательств по контракту. В связи с этим документы, представленные участником для подтверждения опыта, в том числе контракт, акты о приемке выполненных работ, соответствуют требованиям Положения, Порядка.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Также в ходе рассмотрения дела установлено, что конкурсной комиссией Заказчика не принят к оценке контракта по причине отсутствия в составе локально-сметного расчета.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 контракт №17 - №03-10/23 (ООО «Техносервис») заключен сторонами 03.10.2023 на выполнение работ по разработке проекта демонтажа и демонтаж крыши, частичный демонтаж фасадных кирпичных стен. Объем работ, необходимый к выполнению определен приложением №1 «Протокол согласования договорной цены». Локально-сметный расчет не предусмотрен контрактом, в связи с чем непринятие к оценке указанного контракта при наличии документов, подтверждающих опыт в соответствии с Порядком (контракт со всеми приложениями, акты приемки), является неправомерным.</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Контракты №5,6,7,8,9,12,13,15 (ООО «Три богатыря») не приняты конкурсной комиссией к оценке по причине отсутствия КС-2 и КС-3. При этом, контрактами предусмотрено (п.2.6.2), что подтверждением выполнения работ является подписанный сторонами </w:t>
      </w:r>
      <w:r>
        <w:rPr>
          <w:color w:val="000000"/>
          <w:spacing w:val="0"/>
          <w:w w:val="100"/>
          <w:position w:val="0"/>
          <w:sz w:val="24"/>
          <w:szCs w:val="24"/>
          <w:u w:val="single"/>
          <w:shd w:val="clear" w:color="auto" w:fill="auto"/>
          <w:lang w:val="ru-RU" w:eastAsia="ru-RU" w:bidi="ru-RU"/>
        </w:rPr>
        <w:t>акт сдачи-приемки выполненных работ.</w:t>
      </w:r>
      <w:r>
        <w:rPr>
          <w:color w:val="000000"/>
          <w:spacing w:val="0"/>
          <w:w w:val="100"/>
          <w:position w:val="0"/>
          <w:sz w:val="24"/>
          <w:szCs w:val="24"/>
          <w:shd w:val="clear" w:color="auto" w:fill="auto"/>
          <w:lang w:val="ru-RU" w:eastAsia="ru-RU" w:bidi="ru-RU"/>
        </w:rPr>
        <w:t xml:space="preserve"> Соответствующие акты представлены участником закупки в составе документов, подтверждающих опыт выполнения работ. В связи с чем, действия конкурсной по непринятию к оценке указанных контрактов не соответствуют Положению, Порядку.</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Указанное также применимо к контракту №1, представленному ООО «Три богатырь» в качестве подтверждения опыта, сопоставимого с предметом контракта.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Указанные действия конкурсной комиссии Заказчика не могут быть приняты Комиссией Ростовского УФАС России, как соответствующие цели отбора участников.</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Жалоба признана обоснованной, конкурсная комиссия Заказчика — нарушившей ч.11 ст.48 Закона.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2"/>
        <w:keepNext/>
        <w:keepLines/>
        <w:widowControl w:val="0"/>
        <w:shd w:val="clear" w:color="auto" w:fill="auto"/>
        <w:bidi w:val="0"/>
        <w:spacing w:before="0" w:after="240" w:line="240" w:lineRule="auto"/>
        <w:ind w:left="0" w:right="0" w:firstLine="0"/>
        <w:jc w:val="center"/>
      </w:pPr>
      <w:bookmarkStart w:id="17" w:name="bookmark17"/>
      <w:r>
        <w:rPr>
          <w:color w:val="000000"/>
          <w:spacing w:val="0"/>
          <w:w w:val="100"/>
          <w:position w:val="0"/>
          <w:sz w:val="24"/>
          <w:szCs w:val="24"/>
          <w:shd w:val="clear" w:color="auto" w:fill="auto"/>
          <w:lang w:val="ru-RU" w:eastAsia="ru-RU" w:bidi="ru-RU"/>
        </w:rPr>
        <w:t>РЕШИЛА:</w:t>
      </w:r>
      <w:bookmarkEnd w:id="17"/>
    </w:p>
    <w:p>
      <w:pPr>
        <w:pStyle w:val="Style10"/>
        <w:keepNext w:val="0"/>
        <w:keepLines w:val="0"/>
        <w:widowControl w:val="0"/>
        <w:numPr>
          <w:ilvl w:val="0"/>
          <w:numId w:val="15"/>
        </w:numPr>
        <w:shd w:val="clear" w:color="auto" w:fill="auto"/>
        <w:tabs>
          <w:tab w:pos="694" w:val="left"/>
        </w:tabs>
        <w:bidi w:val="0"/>
        <w:spacing w:before="0" w:after="0" w:line="240" w:lineRule="auto"/>
        <w:ind w:left="0" w:right="0" w:firstLine="360"/>
        <w:jc w:val="left"/>
      </w:pPr>
      <w:r>
        <w:rPr>
          <w:color w:val="000000"/>
          <w:spacing w:val="0"/>
          <w:w w:val="100"/>
          <w:position w:val="0"/>
          <w:sz w:val="24"/>
          <w:szCs w:val="24"/>
          <w:shd w:val="clear" w:color="auto" w:fill="auto"/>
          <w:lang w:val="ru-RU" w:eastAsia="ru-RU" w:bidi="ru-RU"/>
        </w:rPr>
        <w:t>Признать жалобы Заявителей обоснованными.</w:t>
      </w:r>
    </w:p>
    <w:p>
      <w:pPr>
        <w:pStyle w:val="Style10"/>
        <w:keepNext w:val="0"/>
        <w:keepLines w:val="0"/>
        <w:widowControl w:val="0"/>
        <w:numPr>
          <w:ilvl w:val="0"/>
          <w:numId w:val="15"/>
        </w:numPr>
        <w:shd w:val="clear" w:color="auto" w:fill="auto"/>
        <w:tabs>
          <w:tab w:pos="714" w:val="left"/>
        </w:tabs>
        <w:bidi w:val="0"/>
        <w:spacing w:before="0" w:after="0" w:line="240" w:lineRule="auto"/>
        <w:ind w:left="0" w:right="0" w:firstLine="360"/>
        <w:jc w:val="left"/>
      </w:pPr>
      <w:r>
        <w:rPr>
          <w:color w:val="000000"/>
          <w:spacing w:val="0"/>
          <w:w w:val="100"/>
          <w:position w:val="0"/>
          <w:sz w:val="24"/>
          <w:szCs w:val="24"/>
          <w:shd w:val="clear" w:color="auto" w:fill="auto"/>
          <w:lang w:val="ru-RU" w:eastAsia="ru-RU" w:bidi="ru-RU"/>
        </w:rPr>
        <w:t>Признать аукционную комиссию Заказчика нарушившей ч.11 ст.48 Закона.</w:t>
      </w:r>
    </w:p>
    <w:p>
      <w:pPr>
        <w:pStyle w:val="Style10"/>
        <w:keepNext w:val="0"/>
        <w:keepLines w:val="0"/>
        <w:widowControl w:val="0"/>
        <w:numPr>
          <w:ilvl w:val="0"/>
          <w:numId w:val="15"/>
        </w:numPr>
        <w:shd w:val="clear" w:color="auto" w:fill="auto"/>
        <w:tabs>
          <w:tab w:pos="699" w:val="left"/>
        </w:tabs>
        <w:bidi w:val="0"/>
        <w:spacing w:before="0" w:after="0" w:line="240" w:lineRule="auto"/>
        <w:ind w:left="0" w:right="0" w:firstLine="360"/>
        <w:jc w:val="both"/>
      </w:pPr>
      <w:r>
        <w:rPr>
          <w:color w:val="000000"/>
          <w:spacing w:val="0"/>
          <w:w w:val="100"/>
          <w:position w:val="0"/>
          <w:sz w:val="24"/>
          <w:szCs w:val="24"/>
          <w:shd w:val="clear" w:color="auto" w:fill="auto"/>
          <w:lang w:val="ru-RU" w:eastAsia="ru-RU" w:bidi="ru-RU"/>
        </w:rPr>
        <w:t>Выдать Заказчику, конкурсной комиссии Заказчика обязательное для исполнения предписание об отмене всех сформированных протоколов, назначении новой даты рассмотрения заявок, пересмотре заявок.</w:t>
      </w:r>
    </w:p>
    <w:p>
      <w:pPr>
        <w:pStyle w:val="Style10"/>
        <w:keepNext w:val="0"/>
        <w:keepLines w:val="0"/>
        <w:widowControl w:val="0"/>
        <w:numPr>
          <w:ilvl w:val="0"/>
          <w:numId w:val="15"/>
        </w:numPr>
        <w:shd w:val="clear" w:color="auto" w:fill="auto"/>
        <w:tabs>
          <w:tab w:pos="694" w:val="left"/>
        </w:tabs>
        <w:bidi w:val="0"/>
        <w:spacing w:before="0" w:after="240" w:line="240" w:lineRule="auto"/>
        <w:ind w:left="0" w:right="0" w:firstLine="36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2"/>
        <w:keepNext w:val="0"/>
        <w:keepLines w:val="0"/>
        <w:widowControl w:val="0"/>
        <w:shd w:val="clear" w:color="auto" w:fill="auto"/>
        <w:bidi w:val="0"/>
        <w:spacing w:before="0" w:after="300"/>
        <w:ind w:left="0" w:right="0" w:firstLine="5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"https://login.consultant.ru/link/?req=doc&amp;base=LAW&amp;n=469794&amp;dst=2425"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p>
      <w:pPr>
        <w:pStyle w:val="Style10"/>
        <w:keepNext w:val="0"/>
        <w:keepLines w:val="0"/>
        <w:widowControl w:val="0"/>
        <w:shd w:val="clear" w:color="auto" w:fill="auto"/>
        <w:bidi w:val="0"/>
        <w:spacing w:before="0" w:after="0" w:line="240" w:lineRule="auto"/>
        <w:ind w:left="0" w:right="0" w:firstLine="0"/>
        <w:jc w:val="right"/>
      </w:pPr>
      <w:r>
        <w:fldChar w:fldCharType="begin"/>
      </w:r>
      <w:r>
        <w:rPr/>
        <w:instrText> HYPERLINK "https://login.consultant.ru/link/?req=doc&amp;base=LAW&amp;n=469794&amp;dst=2425" </w:instrText>
      </w:r>
      <w:r>
        <w:fldChar w:fldCharType="separate"/>
      </w:r>
      <w:r>
        <w:rPr>
          <w:color w:val="000000"/>
          <w:spacing w:val="0"/>
          <w:w w:val="100"/>
          <w:position w:val="0"/>
          <w:sz w:val="24"/>
          <w:szCs w:val="24"/>
          <w:shd w:val="clear" w:color="auto" w:fill="auto"/>
          <w:lang w:val="ru-RU" w:eastAsia="ru-RU" w:bidi="ru-RU"/>
        </w:rPr>
        <w:t>С.В. Батурин</w:t>
      </w:r>
      <w:r>
        <w:fldChar w:fldCharType="end"/>
      </w:r>
    </w:p>
    <w:p>
      <w:pPr>
        <w:pStyle w:val="Style27"/>
        <w:keepNext w:val="0"/>
        <w:keepLines w:val="0"/>
        <w:widowControl w:val="0"/>
        <w:shd w:val="clear" w:color="auto" w:fill="auto"/>
        <w:bidi w:val="0"/>
        <w:spacing w:before="0"/>
        <w:ind w:right="0" w:firstLine="0"/>
        <w:jc w:val="left"/>
      </w:pPr>
      <w:r>
        <w:rPr>
          <w:b/>
          <w:bCs/>
          <w:spacing w:val="0"/>
          <w:w w:val="100"/>
          <w:position w:val="0"/>
          <w:sz w:val="24"/>
          <w:szCs w:val="24"/>
          <w:shd w:val="clear" w:color="auto" w:fill="auto"/>
          <w:lang w:val="ru-RU" w:eastAsia="ru-RU" w:bidi="ru-RU"/>
        </w:rPr>
        <w:t xml:space="preserve">Мест </w:t>
      </w:r>
      <w:r>
        <w:rPr>
          <w:spacing w:val="0"/>
          <w:w w:val="100"/>
          <w:position w:val="0"/>
          <w:shd w:val="clear" w:color="auto" w:fill="auto"/>
          <w:lang w:val="ru-RU" w:eastAsia="ru-RU" w:bidi="ru-RU"/>
        </w:rPr>
        <w:t xml:space="preserve">дня । </w:t>
      </w:r>
      <w:r>
        <w:rPr>
          <w:smallCaps/>
          <w:spacing w:val="0"/>
          <w:w w:val="100"/>
          <w:position w:val="0"/>
          <w:sz w:val="20"/>
          <w:szCs w:val="20"/>
          <w:shd w:val="clear" w:color="auto" w:fill="auto"/>
          <w:lang w:val="ru-RU" w:eastAsia="ru-RU" w:bidi="ru-RU"/>
        </w:rPr>
        <w:t>еодлис</w:t>
      </w:r>
      <w:r>
        <w:rPr>
          <w:spacing w:val="0"/>
          <w:w w:val="100"/>
          <w:position w:val="0"/>
          <w:shd w:val="clear" w:color="auto" w:fill="auto"/>
          <w:lang w:val="ru-RU" w:eastAsia="ru-RU" w:bidi="ru-RU"/>
        </w:rPr>
        <w:t xml:space="preserve"> и:</w:t>
      </w:r>
    </w:p>
    <w:p>
      <w:pPr>
        <w:pStyle w:val="Style31"/>
        <w:keepNext/>
        <w:keepLines/>
        <w:widowControl w:val="0"/>
        <w:shd w:val="clear" w:color="auto" w:fill="auto"/>
        <w:bidi w:val="0"/>
        <w:spacing w:before="0" w:after="300" w:line="240" w:lineRule="auto"/>
        <w:ind w:right="0" w:firstLine="0"/>
        <w:jc w:val="left"/>
      </w:pPr>
      <w:bookmarkStart w:id="19" w:name="bookmark19"/>
      <w:r>
        <w:rPr>
          <w:spacing w:val="0"/>
          <w:w w:val="100"/>
          <w:position w:val="0"/>
          <w:sz w:val="24"/>
          <w:szCs w:val="24"/>
          <w:shd w:val="clear" w:color="auto" w:fill="auto"/>
          <w:lang w:val="ru-RU" w:eastAsia="ru-RU" w:bidi="ru-RU"/>
        </w:rPr>
        <w:t>Батурин С- В.</w:t>
      </w:r>
      <w:bookmarkEnd w:id="19"/>
    </w:p>
    <w:p>
      <w:pPr>
        <w:pStyle w:val="Style10"/>
        <w:keepNext w:val="0"/>
        <w:keepLines w:val="0"/>
        <w:widowControl w:val="0"/>
        <w:shd w:val="clear" w:color="auto" w:fill="auto"/>
        <w:bidi w:val="0"/>
        <w:spacing w:before="0" w:after="80" w:line="240" w:lineRule="auto"/>
        <w:ind w:left="0" w:right="0" w:firstLine="0"/>
        <w:jc w:val="left"/>
      </w:pPr>
      <w:r>
        <w:fldChar w:fldCharType="begin"/>
      </w:r>
      <w:r>
        <w:rPr/>
        <w:instrText> HYPERLINK "https://login.consultant.ru/link/?req=doc&amp;base=LAW&amp;n=469794&amp;dst=2425"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pStyle w:val="Style10"/>
        <w:keepNext w:val="0"/>
        <w:keepLines w:val="0"/>
        <w:widowControl w:val="0"/>
        <w:shd w:val="clear" w:color="auto" w:fill="auto"/>
        <w:bidi w:val="0"/>
        <w:spacing w:before="0" w:after="14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33"/>
        <w:keepNext/>
        <w:keepLines/>
        <w:widowControl w:val="0"/>
        <w:shd w:val="clear" w:color="auto" w:fill="auto"/>
        <w:bidi w:val="0"/>
        <w:spacing w:before="0" w:after="140" w:line="240" w:lineRule="auto"/>
        <w:ind w:left="3380" w:right="0" w:firstLine="0"/>
        <w:jc w:val="left"/>
      </w:pPr>
      <w:bookmarkStart w:id="21" w:name="bookmark21"/>
      <w:r>
        <w:rPr>
          <w:spacing w:val="0"/>
          <w:w w:val="100"/>
          <w:position w:val="0"/>
          <w:sz w:val="24"/>
          <w:szCs w:val="24"/>
          <w:shd w:val="clear" w:color="auto" w:fill="auto"/>
          <w:lang w:val="ru-RU" w:eastAsia="ru-RU" w:bidi="ru-RU"/>
        </w:rPr>
        <w:t xml:space="preserve">Мест </w:t>
      </w:r>
      <w:r>
        <w:rPr>
          <w:b w:val="0"/>
          <w:bCs w:val="0"/>
          <w:spacing w:val="0"/>
          <w:w w:val="100"/>
          <w:position w:val="0"/>
          <w:sz w:val="22"/>
          <w:szCs w:val="22"/>
          <w:shd w:val="clear" w:color="auto" w:fill="auto"/>
          <w:lang w:val="ru-RU" w:eastAsia="ru-RU" w:bidi="ru-RU"/>
        </w:rPr>
        <w:t xml:space="preserve">для </w:t>
      </w:r>
      <w:r>
        <w:rPr>
          <w:spacing w:val="0"/>
          <w:w w:val="100"/>
          <w:position w:val="0"/>
          <w:sz w:val="24"/>
          <w:szCs w:val="24"/>
          <w:shd w:val="clear" w:color="auto" w:fill="auto"/>
          <w:lang w:val="ru-RU" w:eastAsia="ru-RU" w:bidi="ru-RU"/>
        </w:rPr>
        <w:t>подл леи:</w:t>
      </w:r>
      <w:bookmarkEnd w:id="21"/>
    </w:p>
    <w:p>
      <w:pPr>
        <w:pStyle w:val="Style31"/>
        <w:keepNext/>
        <w:keepLines/>
        <w:widowControl w:val="0"/>
        <w:shd w:val="clear" w:color="auto" w:fill="auto"/>
        <w:bidi w:val="0"/>
        <w:spacing w:before="0" w:after="580" w:line="240" w:lineRule="auto"/>
        <w:ind w:right="0" w:firstLine="0"/>
        <w:jc w:val="left"/>
      </w:pPr>
      <w:bookmarkStart w:id="23" w:name="bookmark23"/>
      <w:r>
        <w:rPr>
          <w:spacing w:val="0"/>
          <w:w w:val="100"/>
          <w:position w:val="0"/>
          <w:sz w:val="24"/>
          <w:szCs w:val="24"/>
          <w:shd w:val="clear" w:color="auto" w:fill="auto"/>
          <w:lang w:val="ru-RU" w:eastAsia="ru-RU" w:bidi="ru-RU"/>
        </w:rPr>
        <w:t>Кириленко В. Д.</w:t>
      </w:r>
      <w:bookmarkEnd w:id="23"/>
    </w:p>
    <w:p>
      <w:pPr>
        <w:pStyle w:val="Style10"/>
        <w:keepNext w:val="0"/>
        <w:keepLines w:val="0"/>
        <w:widowControl w:val="0"/>
        <w:shd w:val="clear" w:color="auto" w:fill="auto"/>
        <w:bidi w:val="0"/>
        <w:spacing w:before="0" w:after="8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0"/>
        <w:keepNext w:val="0"/>
        <w:keepLines w:val="0"/>
        <w:widowControl w:val="0"/>
        <w:shd w:val="clear" w:color="auto" w:fill="auto"/>
        <w:bidi w:val="0"/>
        <w:spacing w:before="0" w:after="80" w:line="240" w:lineRule="auto"/>
        <w:ind w:left="0" w:right="0" w:firstLine="0"/>
        <w:jc w:val="center"/>
      </w:pPr>
      <w:r>
        <w:rPr>
          <w:b/>
          <w:bCs/>
          <w:color w:val="898889"/>
          <w:spacing w:val="0"/>
          <w:w w:val="100"/>
          <w:position w:val="0"/>
          <w:sz w:val="24"/>
          <w:szCs w:val="24"/>
          <w:shd w:val="clear" w:color="auto" w:fill="auto"/>
          <w:lang w:val="ru-RU" w:eastAsia="ru-RU" w:bidi="ru-RU"/>
        </w:rPr>
        <w:t xml:space="preserve">Место </w:t>
      </w:r>
      <w:r>
        <w:rPr>
          <w:rFonts w:ascii="Arial" w:eastAsia="Arial" w:hAnsi="Arial" w:cs="Arial"/>
          <w:color w:val="898889"/>
          <w:spacing w:val="0"/>
          <w:w w:val="100"/>
          <w:position w:val="0"/>
          <w:sz w:val="22"/>
          <w:szCs w:val="22"/>
          <w:shd w:val="clear" w:color="auto" w:fill="auto"/>
          <w:lang w:val="ru-RU" w:eastAsia="ru-RU" w:bidi="ru-RU"/>
        </w:rPr>
        <w:t xml:space="preserve">ди </w:t>
      </w:r>
      <w:r>
        <w:rPr>
          <w:b/>
          <w:bCs/>
          <w:color w:val="898889"/>
          <w:spacing w:val="0"/>
          <w:w w:val="100"/>
          <w:position w:val="0"/>
          <w:sz w:val="24"/>
          <w:szCs w:val="24"/>
          <w:shd w:val="clear" w:color="auto" w:fill="auto"/>
          <w:lang w:val="ru-RU" w:eastAsia="ru-RU" w:bidi="ru-RU"/>
        </w:rPr>
        <w:t>подписи:</w:t>
      </w:r>
    </w:p>
    <w:p>
      <w:pPr>
        <w:pStyle w:val="Style33"/>
        <w:keepNext/>
        <w:keepLines/>
        <w:widowControl w:val="0"/>
        <w:shd w:val="clear" w:color="auto" w:fill="auto"/>
        <w:bidi w:val="0"/>
        <w:spacing w:before="0" w:after="5080" w:line="240" w:lineRule="auto"/>
        <w:ind w:left="3600" w:right="0" w:firstLine="0"/>
        <w:jc w:val="left"/>
      </w:pPr>
      <w:bookmarkStart w:id="25" w:name="bookmark25"/>
      <w:r>
        <w:rPr>
          <w:spacing w:val="0"/>
          <w:w w:val="100"/>
          <w:position w:val="0"/>
          <w:sz w:val="24"/>
          <w:szCs w:val="24"/>
          <w:shd w:val="clear" w:color="auto" w:fill="auto"/>
          <w:lang w:val="ru-RU" w:eastAsia="ru-RU" w:bidi="ru-RU"/>
        </w:rPr>
        <w:t>Вергий А. А.</w:t>
      </w:r>
      <w:bookmarkEnd w:id="25"/>
    </w:p>
    <w:p>
      <w:pPr>
        <w:pStyle w:val="Style3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Исп.Вертий А.А.</w:t>
      </w:r>
    </w:p>
    <w:p>
      <w:pPr>
        <w:pStyle w:val="Style38"/>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тел.(863) 240-86-88, вн.061-132</w:t>
      </w:r>
    </w:p>
    <w:sectPr>
      <w:footerReference w:type="default" r:id="rId11"/>
      <w:footerReference w:type="first" r:id="rId12"/>
      <w:footnotePr>
        <w:pos w:val="pageBottom"/>
        <w:numFmt w:val="decimal"/>
        <w:numRestart w:val="continuous"/>
      </w:footnotePr>
      <w:pgSz w:w="11900" w:h="16840"/>
      <w:pgMar w:top="994" w:right="519" w:bottom="1183" w:left="109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10011410</wp:posOffset>
              </wp:positionV>
              <wp:extent cx="3267710" cy="100330"/>
              <wp:wrapNone/>
              <wp:docPr id="13" name="Shape 13"/>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1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2024-19388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9" type="#_x0000_t202" style="position:absolute;margin-left:57.050000000000004pt;margin-top:788.30000000000007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2024-19388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694055</wp:posOffset>
              </wp:positionH>
              <wp:positionV relativeFrom="page">
                <wp:posOffset>10005695</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2024-19388</w:t>
                          </w:r>
                        </w:p>
                      </w:txbxContent>
                    </wps:txbx>
                    <wps:bodyPr wrap="none" lIns="0" tIns="0" rIns="0" bIns="0">
                      <a:spAutoFit/>
                    </wps:bodyPr>
                  </wps:wsp>
                </a:graphicData>
              </a:graphic>
            </wp:anchor>
          </w:drawing>
        </mc:Choice>
        <mc:Fallback>
          <w:pict>
            <v:shape id="_x0000_s1041" type="#_x0000_t202" style="position:absolute;margin-left:54.649999999999999pt;margin-top:787.85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2024-19388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Заголовок №3_"/>
    <w:basedOn w:val="DefaultParagraphFont"/>
    <w:link w:val="Style12"/>
    <w:rPr>
      <w:rFonts w:ascii="Times New Roman" w:eastAsia="Times New Roman" w:hAnsi="Times New Roman" w:cs="Times New Roman"/>
      <w:b/>
      <w:bCs/>
      <w:i w:val="0"/>
      <w:iCs w:val="0"/>
      <w:smallCaps w:val="0"/>
      <w:strike w:val="0"/>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8">
    <w:name w:val="Основной текст (5)_"/>
    <w:basedOn w:val="DefaultParagraphFont"/>
    <w:link w:val="Style27"/>
    <w:rPr>
      <w:rFonts w:ascii="Arial" w:eastAsia="Arial" w:hAnsi="Arial" w:cs="Arial"/>
      <w:b w:val="0"/>
      <w:bCs w:val="0"/>
      <w:i w:val="0"/>
      <w:iCs w:val="0"/>
      <w:smallCaps w:val="0"/>
      <w:strike w:val="0"/>
      <w:color w:val="898889"/>
      <w:sz w:val="22"/>
      <w:szCs w:val="22"/>
      <w:u w:val="none"/>
    </w:rPr>
  </w:style>
  <w:style w:type="character" w:customStyle="1" w:styleId="CharStyle32">
    <w:name w:val="Заголовок №1_"/>
    <w:basedOn w:val="DefaultParagraphFont"/>
    <w:link w:val="Style31"/>
    <w:rPr>
      <w:rFonts w:ascii="Arial" w:eastAsia="Arial" w:hAnsi="Arial" w:cs="Arial"/>
      <w:b/>
      <w:bCs/>
      <w:i w:val="0"/>
      <w:iCs w:val="0"/>
      <w:smallCaps w:val="0"/>
      <w:strike w:val="0"/>
      <w:color w:val="898889"/>
      <w:u w:val="none"/>
    </w:rPr>
  </w:style>
  <w:style w:type="character" w:customStyle="1" w:styleId="CharStyle34">
    <w:name w:val="Заголовок №2_"/>
    <w:basedOn w:val="DefaultParagraphFont"/>
    <w:link w:val="Style33"/>
    <w:rPr>
      <w:rFonts w:ascii="Arial" w:eastAsia="Arial" w:hAnsi="Arial" w:cs="Arial"/>
      <w:b/>
      <w:bCs/>
      <w:i w:val="0"/>
      <w:iCs w:val="0"/>
      <w:smallCaps w:val="0"/>
      <w:strike w:val="0"/>
      <w:color w:val="898889"/>
      <w:u w:val="none"/>
    </w:rPr>
  </w:style>
  <w:style w:type="character" w:customStyle="1" w:styleId="CharStyle39">
    <w:name w:val="Основной текст (4)_"/>
    <w:basedOn w:val="DefaultParagraphFont"/>
    <w:link w:val="Style38"/>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2)"/>
    <w:basedOn w:val="Normal"/>
    <w:link w:val="CharStyle3"/>
    <w:pPr>
      <w:widowControl w:val="0"/>
      <w:shd w:val="clear" w:color="auto" w:fill="auto"/>
      <w:spacing w:after="200" w:line="257"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6">
    <w:name w:val="Основной текст (3)"/>
    <w:basedOn w:val="Normal"/>
    <w:link w:val="CharStyle7"/>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Заголовок №3"/>
    <w:basedOn w:val="Normal"/>
    <w:link w:val="CharStyle13"/>
    <w:pPr>
      <w:widowControl w:val="0"/>
      <w:shd w:val="clear" w:color="auto" w:fill="auto"/>
      <w:ind w:firstLine="20"/>
      <w:outlineLvl w:val="2"/>
    </w:pPr>
    <w:rPr>
      <w:rFonts w:ascii="Times New Roman" w:eastAsia="Times New Roman" w:hAnsi="Times New Roman" w:cs="Times New Roman"/>
      <w:b/>
      <w:bCs/>
      <w:i w:val="0"/>
      <w:iCs w:val="0"/>
      <w:smallCaps w:val="0"/>
      <w:strike w:val="0"/>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Подпись к таблице"/>
    <w:basedOn w:val="Normal"/>
    <w:link w:val="CharStyle18"/>
    <w:pPr>
      <w:widowControl w:val="0"/>
      <w:shd w:val="clear" w:color="auto" w:fill="auto"/>
      <w:ind w:firstLine="580"/>
    </w:pPr>
    <w:rPr>
      <w:rFonts w:ascii="Times New Roman" w:eastAsia="Times New Roman" w:hAnsi="Times New Roman" w:cs="Times New Roman"/>
      <w:b w:val="0"/>
      <w:bCs w:val="0"/>
      <w:i w:val="0"/>
      <w:iCs w:val="0"/>
      <w:smallCaps w:val="0"/>
      <w:strike w:val="0"/>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7">
    <w:name w:val="Основной текст (5)"/>
    <w:basedOn w:val="Normal"/>
    <w:link w:val="CharStyle28"/>
    <w:pPr>
      <w:widowControl w:val="0"/>
      <w:shd w:val="clear" w:color="auto" w:fill="auto"/>
      <w:spacing w:after="140" w:line="180" w:lineRule="auto"/>
      <w:ind w:left="3380"/>
    </w:pPr>
    <w:rPr>
      <w:rFonts w:ascii="Arial" w:eastAsia="Arial" w:hAnsi="Arial" w:cs="Arial"/>
      <w:b w:val="0"/>
      <w:bCs w:val="0"/>
      <w:i w:val="0"/>
      <w:iCs w:val="0"/>
      <w:smallCaps w:val="0"/>
      <w:strike w:val="0"/>
      <w:color w:val="898889"/>
      <w:sz w:val="22"/>
      <w:szCs w:val="22"/>
      <w:u w:val="none"/>
    </w:rPr>
  </w:style>
  <w:style w:type="paragraph" w:customStyle="1" w:styleId="Style31">
    <w:name w:val="Заголовок №1"/>
    <w:basedOn w:val="Normal"/>
    <w:link w:val="CharStyle32"/>
    <w:pPr>
      <w:widowControl w:val="0"/>
      <w:shd w:val="clear" w:color="auto" w:fill="auto"/>
      <w:spacing w:after="440"/>
      <w:ind w:left="3380"/>
      <w:outlineLvl w:val="0"/>
    </w:pPr>
    <w:rPr>
      <w:rFonts w:ascii="Arial" w:eastAsia="Arial" w:hAnsi="Arial" w:cs="Arial"/>
      <w:b/>
      <w:bCs/>
      <w:i w:val="0"/>
      <w:iCs w:val="0"/>
      <w:smallCaps w:val="0"/>
      <w:strike w:val="0"/>
      <w:color w:val="898889"/>
      <w:u w:val="none"/>
    </w:rPr>
  </w:style>
  <w:style w:type="paragraph" w:customStyle="1" w:styleId="Style33">
    <w:name w:val="Заголовок №2"/>
    <w:basedOn w:val="Normal"/>
    <w:link w:val="CharStyle34"/>
    <w:pPr>
      <w:widowControl w:val="0"/>
      <w:shd w:val="clear" w:color="auto" w:fill="auto"/>
      <w:spacing w:after="2610"/>
      <w:ind w:left="3490"/>
      <w:outlineLvl w:val="1"/>
    </w:pPr>
    <w:rPr>
      <w:rFonts w:ascii="Arial" w:eastAsia="Arial" w:hAnsi="Arial" w:cs="Arial"/>
      <w:b/>
      <w:bCs/>
      <w:i w:val="0"/>
      <w:iCs w:val="0"/>
      <w:smallCaps w:val="0"/>
      <w:strike w:val="0"/>
      <w:color w:val="898889"/>
      <w:u w:val="none"/>
    </w:rPr>
  </w:style>
  <w:style w:type="paragraph" w:customStyle="1" w:styleId="Style38">
    <w:name w:val="Основной текст (4)"/>
    <w:basedOn w:val="Normal"/>
    <w:link w:val="CharStyle39"/>
    <w:pPr>
      <w:widowControl w:val="0"/>
      <w:shd w:val="clear" w:color="auto" w:fill="auto"/>
      <w:spacing w:after="10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