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Амурская область, 675000</w:t>
        <w:br/>
        <w:t>тел. (4162) 52-00-07, факс (4162) 52-00-35</w:t>
        <w:br/>
        <w:t>е-таП: 1о28@Й8.§оу.ги</w:t>
      </w:r>
    </w:p>
    <w:p>
      <w:pPr>
        <w:pStyle w:val="Style12"/>
        <w:keepNext/>
        <w:keepLines/>
        <w:widowControl w:val="0"/>
        <w:shd w:val="clear" w:color="auto" w:fill="auto"/>
        <w:tabs>
          <w:tab w:pos="1838"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МП/3954/2</w:t>
      </w:r>
      <w:r>
        <w:rPr>
          <w:color w:val="000000"/>
          <w:spacing w:val="0"/>
          <w:w w:val="100"/>
          <w:position w:val="0"/>
          <w:u w:val="none"/>
          <w:shd w:val="clear" w:color="auto" w:fill="auto"/>
          <w:lang w:val="ru-RU" w:eastAsia="ru-RU" w:bidi="ru-RU"/>
        </w:rPr>
        <w:t>4</w:t>
      </w:r>
      <w:bookmarkEnd w:id="0"/>
    </w:p>
    <w:p>
      <w:pPr>
        <w:pStyle w:val="Style10"/>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b w:val="0"/>
          <w:bCs w:val="0"/>
          <w:color w:val="000000"/>
          <w:spacing w:val="0"/>
          <w:w w:val="100"/>
          <w:position w:val="0"/>
          <w:sz w:val="20"/>
          <w:szCs w:val="20"/>
          <w:shd w:val="clear" w:color="auto" w:fill="auto"/>
          <w:lang w:val="ru-RU" w:eastAsia="ru-RU" w:bidi="ru-RU"/>
        </w:rPr>
        <w:t>Решение по делам №№ 028/06/106-750/2024, 028/06/106-751/2024</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Управление государственного заказа Амурской области ахк@дх.атигоЫ.ги</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"Подразделение транспортной безопасности "Арсенал-М" аг8епа1-т-19@таП.ги</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Государственное казенное учреждение управление автомобильных дорог Амурской области "Амурупрадор" таП@атиг4ог.ги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"Транспортная безопасность "Формат"</w:t>
      </w:r>
    </w:p>
    <w:p>
      <w:pPr>
        <w:pStyle w:val="Style17"/>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824" w:bottom="1231" w:left="1140" w:header="0" w:footer="3" w:gutter="0"/>
          <w:pgNumType w:start="1"/>
          <w:cols w:num="2" w:space="586"/>
          <w:noEndnote/>
          <w:titlePg/>
          <w:rtlGutter w:val="0"/>
          <w:docGrid w:linePitch="360"/>
        </w:sectPr>
      </w:pPr>
      <w:r>
        <w:rPr>
          <w:color w:val="000000"/>
          <w:spacing w:val="0"/>
          <w:w w:val="100"/>
          <w:position w:val="0"/>
          <w:shd w:val="clear" w:color="auto" w:fill="auto"/>
          <w:lang w:val="ru-RU" w:eastAsia="ru-RU" w:bidi="ru-RU"/>
        </w:rPr>
        <w:t>1икотп0410@таП.ги</w:t>
      </w: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778" w:right="0" w:bottom="716" w:left="0" w:header="0" w:footer="3" w:gutter="0"/>
          <w:cols w:space="720"/>
          <w:noEndnote/>
          <w:rtlGutter w:val="0"/>
          <w:docGrid w:linePitch="360"/>
        </w:sectPr>
      </w:pPr>
    </w:p>
    <w:p>
      <w:pPr>
        <w:pStyle w:val="Style17"/>
        <w:keepNext w:val="0"/>
        <w:keepLines w:val="0"/>
        <w:widowControl w:val="0"/>
        <w:shd w:val="clear" w:color="auto" w:fill="auto"/>
        <w:bidi w:val="0"/>
        <w:spacing w:before="0" w:after="560" w:line="240" w:lineRule="auto"/>
        <w:ind w:left="0" w:right="0" w:firstLine="0"/>
        <w:jc w:val="center"/>
      </w:pPr>
      <w:r>
        <w:rPr>
          <w:b/>
          <w:bCs/>
          <w:color w:val="000000"/>
          <w:spacing w:val="0"/>
          <w:w w:val="100"/>
          <w:position w:val="0"/>
          <w:shd w:val="clear" w:color="auto" w:fill="auto"/>
          <w:lang w:val="ru-RU" w:eastAsia="ru-RU" w:bidi="ru-RU"/>
        </w:rPr>
        <w:t>РЕШЕНИЕ</w:t>
        <w:br/>
        <w:t>по делам №№ 028/06/106-750/2024, 028/06/106-751/2024</w:t>
      </w:r>
    </w:p>
    <w:p>
      <w:pPr>
        <w:pStyle w:val="Style17"/>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38100" distR="38100" simplePos="0" relativeHeight="125829378" behindDoc="0" locked="0" layoutInCell="1" allowOverlap="1">
                <wp:simplePos x="0" y="0"/>
                <wp:positionH relativeFrom="page">
                  <wp:posOffset>6030595</wp:posOffset>
                </wp:positionH>
                <wp:positionV relativeFrom="paragraph">
                  <wp:posOffset>12700</wp:posOffset>
                </wp:positionV>
                <wp:extent cx="1151890" cy="234950"/>
                <wp:wrapSquare wrapText="left"/>
                <wp:docPr id="7" name="Shape 7"/>
                <a:graphic xmlns:a="http://schemas.openxmlformats.org/drawingml/2006/main">
                  <a:graphicData uri="http://schemas.microsoft.com/office/word/2010/wordprocessingShape">
                    <wps:wsp>
                      <wps:cNvSpPr txBox="1"/>
                      <wps:spPr>
                        <a:xfrm>
                          <a:ext cx="115189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wps:txbx>
                      <wps:bodyPr wrap="none" lIns="0" tIns="0" rIns="0" bIns="0">
                        <a:noAutoFit/>
                      </wps:bodyPr>
                    </wps:wsp>
                  </a:graphicData>
                </a:graphic>
              </wp:anchor>
            </w:drawing>
          </mc:Choice>
          <mc:Fallback>
            <w:pict>
              <v:shape id="_x0000_s1033" type="#_x0000_t202" style="position:absolute;margin-left:474.85000000000002pt;margin-top:1.pt;width:90.700000000000003pt;height:18.5pt;z-index:-125829375;mso-wrap-distance-left:3.pt;mso-wrap-distance-right:3.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Благовещенск</w:t>
                      </w:r>
                    </w:p>
                  </w:txbxContent>
                </v:textbox>
                <w10:wrap type="square" side="left" anchorx="page"/>
              </v:shape>
            </w:pict>
          </mc:Fallback>
        </mc:AlternateContent>
      </w:r>
      <w:r>
        <w:rPr>
          <w:color w:val="000000"/>
          <w:spacing w:val="0"/>
          <w:w w:val="100"/>
          <w:position w:val="0"/>
          <w:shd w:val="clear" w:color="auto" w:fill="auto"/>
          <w:lang w:val="ru-RU" w:eastAsia="ru-RU" w:bidi="ru-RU"/>
        </w:rPr>
        <w:t>25.09.2024</w:t>
      </w:r>
    </w:p>
    <w:p>
      <w:pPr>
        <w:pStyle w:val="Style17"/>
        <w:keepNext w:val="0"/>
        <w:keepLines w:val="0"/>
        <w:widowControl w:val="0"/>
        <w:shd w:val="clear" w:color="auto" w:fill="auto"/>
        <w:bidi w:val="0"/>
        <w:spacing w:before="0" w:after="240" w:line="240" w:lineRule="auto"/>
        <w:ind w:left="0" w:right="0" w:firstLine="0"/>
        <w:jc w:val="both"/>
      </w:pPr>
      <w:r>
        <w:rPr>
          <w:color w:val="000000"/>
          <w:spacing w:val="0"/>
          <w:w w:val="100"/>
          <w:position w:val="0"/>
          <w:shd w:val="clear" w:color="auto" w:fill="auto"/>
          <w:lang w:val="ru-RU" w:eastAsia="ru-RU" w:bidi="ru-RU"/>
        </w:rPr>
        <w:t>(решение в полном объеме изготовлено 30.09.2024)</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заместителя руководителя управления - начальника отдела контроля закупок, председателя Комиссии; членов Комиссии: Стрелковой Е.В. - главного специалиста- эксперта указанного отдела, Левченко И.И. - ведущего специалиста-эксперта указанного отдела, Бутковской Н.В. - ведущего специалиста-эксперта указанного отдела,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(посредством видеоконференцсвязи): от государственного заказчика - государственного казенного учреждения Управление автомобильных дорог Амурской области «Амурупрадор» (далее - Заказчик) Галинковской Е.А., Процко А.В., Скатовой Г.С., действующих на основании выданных учреждением доверенностей; от уполномоченного органа - управления государственного заказа Амурской области (далее - Уполномоченный орган) Гавриленко Ю.В., действующей по доверенности (лицам разъяснены права, порядок рассмотрения дела, сообщено о ведении аудио- и видеозаписи заседания Комиссии Амурского УФАС России),</w:t>
      </w:r>
    </w:p>
    <w:p>
      <w:pPr>
        <w:pStyle w:val="Style17"/>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без участия представителей заявителей жалоб - общества с ограниченной ответственностью «ТБ «Формат» (далее - ООО «ТБ «Формат») и общества с ограниченной ответственностью «Подразделение транспортной безопасности «Арсенал-М» (далее - ООО «Подразделение транспортной безопасности «Арсенал-М»), уведомленных о дате и</w:t>
      </w:r>
    </w:p>
    <w:p>
      <w:pPr>
        <w:pStyle w:val="Style24"/>
        <w:keepNext/>
        <w:keepLines/>
        <w:widowControl w:val="0"/>
        <w:shd w:val="clear" w:color="auto" w:fill="auto"/>
        <w:bidi w:val="0"/>
        <w:spacing w:before="0" w:after="0" w:line="240" w:lineRule="auto"/>
        <w:ind w:left="0" w:right="0" w:firstLine="0"/>
        <w:jc w:val="both"/>
        <w:rPr>
          <w:sz w:val="26"/>
          <w:szCs w:val="26"/>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8"/>
        </w:rPr>
        <w:t>месте проведения внеплановой проверки,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рассмотрела поступившие 19.09.2024 в Амурское УФАС России жалобы ООО «ТБ «Формат» и ООО «Подразделение транспортной безопасности «Арсенал-М» на действия Заказчика и Уполномоченного органа при осуществлении закупки способом запроса котировок в электронной форме на право заключения государственного контракта на оказание услуг по защите объекта транспортной инфраструктуры от актов незаконного вмешательства: «Мостовой переход через р. Зея в г. Благовещенск (1 этап)», объявленной извещением от 12.09.2024 № 0123200000324001625 в Единой информационной системе в сфере закупок \у\\\у./акирк1.доу.П1 и на электронной площадке РТС-тендер </w:t>
      </w:r>
      <w:r>
        <w:rPr>
          <w:smallCaps/>
          <w:color w:val="000000"/>
          <w:spacing w:val="0"/>
          <w:w w:val="100"/>
          <w:position w:val="0"/>
          <w:shd w:val="clear" w:color="auto" w:fill="auto"/>
          <w:lang w:val="ru-RU" w:eastAsia="ru-RU" w:bidi="ru-RU"/>
        </w:rPr>
        <w:t xml:space="preserve">\у\у\у.г1^- </w:t>
      </w:r>
      <w:r>
        <w:rPr>
          <w:color w:val="000000"/>
          <w:spacing w:val="0"/>
          <w:w w:val="100"/>
          <w:position w:val="0"/>
          <w:shd w:val="clear" w:color="auto" w:fill="auto"/>
          <w:lang w:val="ru-RU" w:eastAsia="ru-RU" w:bidi="ru-RU"/>
        </w:rPr>
        <w:t>1епскт.ги, нарушающих, по мнению заявителей,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жалобы ООО «ТБ «Формат», общество считает, что требования Заказчика о наличии минимум двух автоматизированных рабочих мест сотрудников ПТБ является завышенным, поскольку достаточно одного такого места; также описание объекта закупки не содержит требований о необходимости подготовки исполнителя для работы с документами с ограниченным доступом.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ООО «Подразделение транспортной безопасности «Арсенал-М» указано о том, что, по мнению заявителя, Заказчиком при размещении рассматриваемой закупки не соблюдены положения Федерального закона от 09.02.2007 № 16-ФЗ «О транспортной безопасности» и Постановления Правительства РФ от 21.12.2020 № 2201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Заявители жалоб просят антимонопольный орган провести проверку доводов жалоб, признать нарушения законодательства Российской Федерации, выдать предписание об устранении нарушений допущенных нарушений.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Заказчик и Уполномоченный орган в письменных пояснениях с доводами жалоб не согласились, просили признать их необоснованными. На заседании Комиссии Амурского УФАС России 25.09.2024 представители по доводам ООО «Подразделение транспортной безопасности «Арсенал-М» пояснили, что перечень, указанный в пункте 7, утвержденных Постановлением Правительства Российской Федерации от 21.12.2020 №2201, является минимальным и не является исчерпывающим. Действующим законодательством РФ в области обеспечения транспортной безопасности не запрещена реализация мероприятий по обеспечению транспортной безопасности субъектом транспортной инфраструктуры путем привлечения подразделений транспортной безопасности с необходимой материально-технической базой, для обеспечения защиты ОТИ в полном объеме. Учитывая отсутствие возможности выделения помещений для размещения работников подразделений транспортной безопасности, для временного хранения добровольно сданных, обнаруженных и изъятых в ходе досмотра, дополнительного досмотра или повторного досмотра предметов и веществ, которые запрещены или ограничены для перемещения, а также пункта управления обеспечением транспортной безопасности субъект транспортной инфраструктуры изыскивает возможность реализации положений требований путем привлечения ПТБ, обеспечивающих наличие данных помещений, их </w:t>
      </w:r>
      <w:r>
        <w:rPr>
          <w:color w:val="000000"/>
          <w:spacing w:val="0"/>
          <w:w w:val="100"/>
          <w:position w:val="0"/>
          <w:shd w:val="clear" w:color="auto" w:fill="auto"/>
          <w:lang w:val="ru-RU" w:eastAsia="ru-RU" w:bidi="ru-RU"/>
        </w:rPr>
        <w:t xml:space="preserve">непрерывное функционирование, а также, при необходимости возможность размещения специально оснащённого автомобиля для развёртывания мобильного автономного пункта управления обеспечением транспортной безопасности, в случае выхода из строя технических средств обеспечения транспортной безопасности объекта транспортной инфраструктуры или единого пункта управления обеспечения транспортной безопасности. Установленные в документации требования направлены на надлежащее и оперативное обеспечение транспортной безопасности, устойчивое и безопасное функционирование транспортного комплекса, защиты интересов личности, общества и государства в сфере транспортной безопасности от актов незаконного вмешательства, рационального расходования и повышения эффективности расходования бюджетных средств в данной закупке. В соответствии с подпунктами 20, 21 пункта 7 Требований, утвержденных Постановлением Правительства Российской Федерации от 21.12.2020 №2201, субъект транспортной инфраструктуры обязан реализовать предусмотренные планом обеспечения безопасности объекта дополнительные меры при изменении уровня безопасности. По доводам жалобы ООО «ТБ «Формат» представители Заказчика и Уполномоченного органа пояснили, что считают, что меры по обеспечению транспортной безопасности не являются завышенными и необоснованными и в случае возникновения внештатных ситуаций, заказчик имеет возможность предусмотреть иные меры для обеспечения беспрерывной работы по защите от актов незаконного вмешательства объектов транспортной инфраструктуры. Требование о наличии двух автоматизированных рабочих мест предусмотрено Планом обеспечения транспортной безопасности объекта транспортной инфраструктуры и обусловлено тем, что в случае выхода из строя одного автоматизированного рабочего места, предусмотрено второе, которое также может использоваться для выполнения обеспечения защиты. Автоматизированные рабочие места могут использоваться не только для работы с документами ДСП, но и для передачи данных и информирования федеральные органы исполнительной власти об актах незаконного вмешательства. Все должностные инструкции работников подразделения транспортной безопасности, графики обходов являются документами ограниченного доступа, также как и вся информация, содержащаяся в плане обеспечения транспортной безопасности (схемы ОТИ, схемы информирования и т.д.). Данная информация предоставляется подразделению транспортной безопасности для выполнения задач по защите объекта транспортной инфраструктуры. Документы с пометкой «Для служебного пользования» содержат служебную информацию ограниченного распространения. Система аттестации объектов информатизации по требованиям безопасности информации является составной частью единой системы сертификации средств защиты информации и аттестации объектов информатизации по требованиям безопасности информации и подлежит государственной регистрации в установленном Госстандартом России порядке. Наличие на объекте информатизации действующего «Аттестата соответствия» дает право обработки информации с уровнем секретности (конфиденциальности) и на период времени, установленными в «Аттестате соответствия». Аттестация по требованиям безопасности информации предшествует началу обработки подлежащей защите информации и вызвана необходимостью официального подтверждения эффективности комплекса, используемых на конкретном объекте информатизации мер и средств защиты информации. При аттестации объекта информатизации подтверждается его соответствие требованиям по защите информации от несанкционированного доступа, в том числе от компьютерных вирусов, от утечки за счет побочных электромагнитных излучений и наводок при </w:t>
      </w:r>
      <w:r>
        <w:rPr>
          <w:color w:val="000000"/>
          <w:spacing w:val="0"/>
          <w:w w:val="100"/>
          <w:position w:val="0"/>
          <w:shd w:val="clear" w:color="auto" w:fill="auto"/>
          <w:lang w:val="ru-RU" w:eastAsia="ru-RU" w:bidi="ru-RU"/>
        </w:rPr>
        <w:t>специальных воздействиях на объект (высокочастотное навязывание и облучение, электромагнитное и радиационное воздействие), от утечки или воздействия на нее за счет специальных устройств, встроенных в объекты информатизации. Обязательной аттестации подлежат объекты информатизации, предназначенные для обработки информации, составляющей государственную тайну, управления экологически опасными объектами, ведения секретных переговоров. В остальных случаях аттестация носит добровольный характер и может осуществляться по инициативе заказчика или владельца объекта информатизации.</w:t>
      </w:r>
    </w:p>
    <w:p>
      <w:pPr>
        <w:pStyle w:val="Style17"/>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заслушав представителей сторон по делу, исследовав материалы дела,</w:t>
      </w:r>
    </w:p>
    <w:p>
      <w:pPr>
        <w:pStyle w:val="Style28"/>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hd w:val="clear" w:color="auto" w:fill="auto"/>
          <w:lang w:val="ru-RU" w:eastAsia="ru-RU" w:bidi="ru-RU"/>
        </w:rPr>
        <w:t>УСТАНОВИЛА:</w:t>
      </w:r>
      <w:bookmarkEnd w:id="4"/>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Амурской области от 05.02.2016 № 38 утвержден Порядок взаимодействия заказчиков с уполномоченным органом по определению поставщиков (подрядчиков, исполнителей) для нужд области (далее - Порядок № 38).</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Указанным Порядком управление государственного заказа Амурской области определено уполномоченным органом государственной власти области, осуществляющим полномочия по определению поставщиков (подрядчиков, исполнителей) для нужд области.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Порядка № 38 осуществление закупок товаров, работ, услуг для нужд области реализуется через региональную информационную систему в сфере закупок товаров, работ, услуг для обеспечения нужд области "Централизованная информационно</w:t>
        <w:softHyphen/>
        <w:t>техническая платформа «АЦК-Госзаказ» на основании заявок заказчиков, составляемых в соответствии с планами-графиками закупок, а также потребностями и доведенными лимитами бюджетных обязательств на соответствующий финансовый год.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12.09.2024 Уполномоченным органом по заявке Заказчика в Единой информационной системе в сфере закупок \у\у\у./акирк1.доу.ги и на электронной площадке ООО «РТС-тендер» \у\у\у.г18-1епс1ег.ги опубликовано извещение № 0123200000324001625 о проведении запроса котировок в электронной форме на право заключения государственного контракта на оказание услуг по защите объекта транспортной инфраструктуры от актов незаконного вмешательства: «Мостовой переход через р. Зея в г. Благовещенск (1 этап)».</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- 5 088 960,00 рублей.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- 12.09.2024 в 16:48 (МСК+6). Дата и время окончания срока подачи заявок - 19.09.2024 09:00 (МСК+6). Дата подведения итогов определения поставщика (подрядчика, исполнителя) - 23.09.2024</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рамках рассматриваемой закупки Заказчиком изменения в извещение не вносились.</w:t>
      </w:r>
    </w:p>
    <w:p>
      <w:pPr>
        <w:pStyle w:val="Style17"/>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0123200000324001625 от 23.09.2024 в связи с тем, что по окончании срока подачи заявок на участие в электронном запросе котировок была подана только одна заявка на участие в нем, на основании пункта 1 части 1 статьи 52 Федерального закона от 05 апреля 2013 г. № 44-ФЗ определение поставщика (подрядчика, исполнителя) признается несостоявшимся. По результатам подведения итогов определения поставщика (подрядчика, исполнителя) контракт заключается с участником закупки идентификационный № 117278447.</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дату рассмотрения жалобы и проведения внеплановой проверки государственный контракт не заключен.</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материалы дела, Комиссия Амурского УФАС России приходит к следующим выводам.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r>
        <w:rPr>
          <w:i/>
          <w:iCs/>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3 части 2 статьи 24 Закона о контрактной системе запрос котировок в электронной форме является конкурентным способом осуществления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Статьей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пункта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33 Закона о контрактной </w:t>
      </w:r>
      <w:r>
        <w:rPr>
          <w:color w:val="000000"/>
          <w:spacing w:val="0"/>
          <w:w w:val="100"/>
          <w:position w:val="0"/>
          <w:shd w:val="clear" w:color="auto" w:fill="auto"/>
          <w:lang w:val="ru-RU" w:eastAsia="ru-RU" w:bidi="ru-RU"/>
        </w:rPr>
        <w:t>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Предметом контракта закупки № 0123200000324001625 Заказчиком определено оказание услуг по защите объекта транспортной инфраструктуры от актов незаконного вмешательства: «Мостовой переход через р. Зея в г. Благовещенск (1 этап)».</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3.1 Технического задания на оказание услуг по защите объекта транспортной инфраструктуры от актов незаконного вмешательства: «Мостовой переход через р. Зея в г. Благовещенск (1 этап)» «Исполнитель» выполняет свои обязательства по оказанию услуг в соответствие в том числе со следующими нормативно-правовыми актами в области обеспечения транспортной безопасности:</w:t>
      </w:r>
    </w:p>
    <w:p>
      <w:pPr>
        <w:pStyle w:val="Style17"/>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Федеральный закон РФ № 16-ФЗ от «09» февраля 2007 года «О транспортной безопасности»;</w:t>
      </w:r>
    </w:p>
    <w:p>
      <w:pPr>
        <w:pStyle w:val="Style17"/>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 Правительства РФ № 2201 от «21» декабря 2020 года «Об утверждении требований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 (после момента ввода объекта транспортной инфраструктуры дорожного хозяйства в эксплуатацию).</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6.9 Технического задания подразделение транспортной безопасности обеспечивает наличие специально оснащённого автомобиля группы быстрого реагирования, обеспечивающего функции мобильного автономного пункта управления обеспечением транспортной безопасности (</w:t>
      </w:r>
      <w:r>
        <w:rPr>
          <w:i/>
          <w:iCs/>
          <w:color w:val="000000"/>
          <w:spacing w:val="0"/>
          <w:w w:val="100"/>
          <w:position w:val="0"/>
          <w:shd w:val="clear" w:color="auto" w:fill="auto"/>
          <w:lang w:val="ru-RU" w:eastAsia="ru-RU" w:bidi="ru-RU"/>
        </w:rPr>
        <w:t>далее -</w:t>
      </w:r>
      <w:r>
        <w:rPr>
          <w:color w:val="000000"/>
          <w:spacing w:val="0"/>
          <w:w w:val="100"/>
          <w:position w:val="0"/>
          <w:shd w:val="clear" w:color="auto" w:fill="auto"/>
          <w:lang w:val="ru-RU" w:eastAsia="ru-RU" w:bidi="ru-RU"/>
        </w:rPr>
        <w:t xml:space="preserve"> МАПУ ОТБ) и его размещение на объекте в соответствии с Планом при выходе из строя систем обеспечения транспортной безопасности пункта управления обеспечением транспортной безопасности и (или) пункта досмотра.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Пунктом 6.10 Технического задания предусмотрено, что МАПУ ОТБ обеспечивает размещение минимум двух автоматизированных рабочих мест сотрудников ПТБ, с возможностью подготовки документов с грифом ограничения доступа не ниже «Для служебного пользования», наличие канала передачи данных в МВД, ФСБ, РОСТРАНСНАДЗОР с систем видеонаблюдения за прилегающей территорией и действиями сотрудников ПТБ. Автоматизированные рабочие места должны иметь аттестаты соответствия объекта информатизации автоматизированной системы </w:t>
      </w:r>
      <w:r>
        <w:rPr>
          <w:color w:val="000000"/>
          <w:spacing w:val="0"/>
          <w:w w:val="100"/>
          <w:position w:val="0"/>
          <w:shd w:val="clear" w:color="auto" w:fill="auto"/>
          <w:lang w:val="ru-RU" w:eastAsia="ru-RU" w:bidi="ru-RU"/>
        </w:rPr>
        <w:t>требованиям по безопасности информации в соответствии с требованиями действующего законодательства.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6.11 Технического задания, мобильный автономный пункт управления обеспечением транспортной безопасности, оснащается техническими средствами, указанными в ч. 8 ст. 12.2. Федерального закона от «09» февраля 2007 года № 16-ФЗ «О транспортной безопасности», соответствующим требованиям Постановления Правительства Российской Федерации от «26» сентября 2016 года № 969 «Об утверждении требований к функциональным свойствам технических средств обеспечения транспортной безопасности и Правил обязательной сертификации технических средств обеспечения транспортной безопасности», информация о которых содержится в реестре выданных сертификатов соответствия, ведение которых осуществляется федеральными органами по сертификации, и включает в себя системы и средства: система сигнализации; средства досмотра; система видеонаблюдения.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МАПУ ОТБ размещается в непосредственной близости от объекта транспортной инфраструктуры на весь срок исполнения обязанностей по контракту. Допускается отсутствие МАПУ ОТБ на объекте по согласованию с «Государственным заказчиком» для проведения технического обслуживания, регламентных и юстировочных работ не более чем в течении трёх календарных дней (пункт 6.12 Технического задания).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 доводы Заявителей, что Заказчиком необъективно описан объект закупки, установлены излишние требования к объекту закупки, что, по их мнению, ограничивает конкуренцию, Комиссия Амурского УФАС России приходит к следующим выводам.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Обеспечение транспортной безопасности регламентировано Федеральным законом от 09.02.2007 № 16-ФЗ (ред. от 08.08.2024) «О транспортной безопасности» (далее - Закон № 16-ФЗ).</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статьи 1 данного закона силы обеспечения транспортной безопасности - лица, ответственные за обеспечение транспортной безопасности в субъекте транспортной инфраструктуры, на объекте транспортной инфраструктуры, транспортном средстве, включая персонал субъекта транспортной инфраструктуры или подразделения транспортной безопасности, непосредственно связанный с обеспечением транспортной безопасности объектов транспортной инфраструктуры или транспортных средств.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4 Закона № 16-ФЗ обеспечение транспортной безопасности объектов транспортной инфраструктуры и транспортных средств возлагается на субъекты транспортной инфраструктуры, перевозчиков, если иное не установлено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9 статьи 1 Закона № 16-ФЗ субъекты транспортной инфраструктуры - юридические лица, индивидуальные предприниматели и физические лица, являющиеся собственниками объектов транспортной инфраструктуры и (или) транспортных средств или использующие их на ином законном основании.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Реализация планов обеспечения транспортной безопасности объектов транспортной инфраструктуры и паспортов обеспечения транспортной безопасности объектов транспортной инфраструктуры и транспортных средств осуществляется субъектами транспортной инфраструктуры (пункт 4 статьи 9 № 16-ФЗ).</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4 статьи 12.2. Закона ^ 16-ФЗ определено, что в ходе дополнительного досмотра в целях обеспечения транспортной безопасности осуществляются мероприятия по распознаванию предметов и веществ, обнаруженных в ходе досмотра и (или) повторного досмотра в целях обеспечения транспортной безопасности.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9 статьи 12.2 Закона № 16-ФЗ досмотр, дополнительный досмотр, повторный досмотр, наблюдение и (или)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10 статьи 12.3 Закона № 16-ФЗ в случае, если полномочия единоличного исполнительного органа субъекта транспортной инфраструктуры, являющегося хозяйственным обществом, передаются коммерческой организации (управляющей организации) или индивидуальному предпринимателю (управляющему), договор о передаче указанных полномочий должен предусматривать ответственность управляющей организации или управляющего за соблюдение требований по обеспечению транспортной безопасности, предъявляемых настоящим Федеральным законом к такому субъекту транспортной инфраструктуры.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Законом № 16-ФЗ Постановлением Правительства Российской Федерации от 21.12.2020 № 2201 утверждены требования по обеспечению транспортной безопасности, в том числе требований к антитеррористической защищенности объектов (территорий), учитывающих уровни безопасности для различных категорий объектов транспортной инфраструктуры дорожного хозяйства» (далее - Требования № 2201).</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7 Требования № 2201 предусмотрено, что субъекты транспортной инфраструктуры в целях обеспечения транспортной безопасности объектов транспортной инфраструктуры обязаны в том числе:</w:t>
      </w:r>
    </w:p>
    <w:p>
      <w:pPr>
        <w:pStyle w:val="Style17"/>
        <w:keepNext w:val="0"/>
        <w:keepLines w:val="0"/>
        <w:widowControl w:val="0"/>
        <w:numPr>
          <w:ilvl w:val="0"/>
          <w:numId w:val="3"/>
        </w:numPr>
        <w:shd w:val="clear" w:color="auto" w:fill="auto"/>
        <w:tabs>
          <w:tab w:pos="12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реализовать предусмотренные планом обеспечения безопасности объекта дополнительные меры при изменении уровня безопасности в сроки, не превышающие 6 часов с момента получения решения об изменении степени угрозы совершения акта незаконного вмешательства;</w:t>
      </w:r>
    </w:p>
    <w:p>
      <w:pPr>
        <w:pStyle w:val="Style17"/>
        <w:keepNext w:val="0"/>
        <w:keepLines w:val="0"/>
        <w:widowControl w:val="0"/>
        <w:numPr>
          <w:ilvl w:val="0"/>
          <w:numId w:val="3"/>
        </w:numPr>
        <w:shd w:val="clear" w:color="auto" w:fill="auto"/>
        <w:tabs>
          <w:tab w:pos="12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незамедлительно объявить (установить) или отменить уровень безопасности объекта транспортной инфраструктуры при получении решения об изменении степени угрозы совершения акта незаконного вмешательства;</w:t>
      </w:r>
    </w:p>
    <w:p>
      <w:pPr>
        <w:pStyle w:val="Style17"/>
        <w:keepNext w:val="0"/>
        <w:keepLines w:val="0"/>
        <w:widowControl w:val="0"/>
        <w:numPr>
          <w:ilvl w:val="0"/>
          <w:numId w:val="5"/>
        </w:numPr>
        <w:shd w:val="clear" w:color="auto" w:fill="auto"/>
        <w:tabs>
          <w:tab w:pos="12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выявления нефункционирующих и (или) неисправных технических средств обеспечения транспортной безопасности, наличие которых определено планом обеспечения безопасности объекта, а также в случаях невозможности выполнения с их помощью положений настоящего документа ввести в соответствии с указанным планом иные меры по обеспечению транспортной безопасности. При невозможности обеспечить введенными иными мерами реализацию положений настоящего документа ограничить функционирование объекта транспортной инфраструктуры и (или) изменить порядок эксплуатации объекта транспортной инфраструктуры.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Верховный Суд Российской Федерации пунктах 1, 2 Обзора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разъяснил, что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Амурского УФАС России, проанализировав положения закупочной документации № 0123200000324001625, приходит к выводу, что установленные Заказчиком требования о наличии о наличии минимум двух автоматизированных рабочих мест </w:t>
      </w:r>
      <w:r>
        <w:rPr>
          <w:color w:val="000000"/>
          <w:spacing w:val="0"/>
          <w:w w:val="100"/>
          <w:position w:val="0"/>
          <w:shd w:val="clear" w:color="auto" w:fill="auto"/>
          <w:lang w:val="ru-RU" w:eastAsia="ru-RU" w:bidi="ru-RU"/>
        </w:rPr>
        <w:t>сотрудников ПТБ, направлены на надлежащее и оперативное обеспечение транспортной безопасности, устойчивое и безопасное функционирование транспортного комплекса, защиты интересов личности, общества и государства в сфере транспортной безопасности от актов незаконного вмешательства, рационального расходования и повышения эффективности расходования бюджетных средств в данной закупке. Противоречия закупочной документации Закону № 16 и Требования № 2201 Комиссией Амурского УФАС России также не установлено, напротив, Заказчик в техническом задании указывает о необходимости соблюдения подрядчиком (исполнителем) названных правовых актов. Признаки к необоснованного ограничения числа участников закупки комиссией антимонопольного органа не установлены.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руководствуясь положениями антимонопольного законодательства Российской Федерации и в сфере защиты конкуренции, основываясь на правовом подходе Верховного Суда Российской Федерации, отмечает, что Заказчиком сформированы в закупочной документации особые требования к характеристикам услуг, с учетом собственных потребностей заказчика и специфики объекта и вида его деятельности, поэтому включение в документацию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 Основной задачей норм, содержащихся в Законе о контрактной системе,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такого определения лица, исполнение контракта которым в наибольшей степени удовлетворит потребности заказчика в необходимом товаре, работе, услуге.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Иного материалы дела не содержат.</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вышеизложенного, Комиссия Амурского УФАС России приходит к выводу об отсутствии нарушений Закона о контрактной системе в рассматриваемых действиях Заказчика и Уполномоченного органа, и о необоснованности жалоб.</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жалобу ООО «ТБ «Формат» и ООО «Подразделение транспортной безопасности «Арсенал-М» на действия Заказчика и Уполномоченного органа при осуществлении закупки способом запроса котировок в электронной форме на право заключения государственного контракта на оказание услуг по защите объекта транспортной инфраструктуры от актов незаконного вмешательства: «Мостовой переход через р. Зея в г. Благовещенск (1 этап)», объявленной извещением от 12.09.2024 № 0123200000324001625 в Единой информационной системе в сфере закупок \у\у\у./акирк1.доу.ги и на электронной площадке РТС-тендер \у\у\у.г18-1епс1ег.ги, руководствуясь пунктом 1 части 3, части 15 статьи 99, части 8 статьи 106 Закона о контрактной системе, Комиссия Амурского УФАС России приняла</w:t>
      </w:r>
      <w:r>
        <w:br w:type="page"/>
      </w:r>
    </w:p>
    <w:p>
      <w:pPr>
        <w:pStyle w:val="Style28"/>
        <w:keepNext/>
        <w:keepLines/>
        <w:widowControl w:val="0"/>
        <w:shd w:val="clear" w:color="auto" w:fill="auto"/>
        <w:bidi w:val="0"/>
        <w:spacing w:before="0" w:after="260" w:line="240" w:lineRule="auto"/>
        <w:ind w:left="0" w:right="0" w:firstLine="0"/>
        <w:jc w:val="center"/>
      </w:pPr>
      <w:bookmarkStart w:id="6" w:name="bookmark6"/>
      <w:r>
        <w:rPr>
          <w:color w:val="000000"/>
          <w:spacing w:val="0"/>
          <w:w w:val="100"/>
          <w:position w:val="0"/>
          <w:shd w:val="clear" w:color="auto" w:fill="auto"/>
          <w:lang w:val="ru-RU" w:eastAsia="ru-RU" w:bidi="ru-RU"/>
        </w:rPr>
        <w:t>РЕШЕНИЕ:</w:t>
      </w:r>
      <w:bookmarkEnd w:id="6"/>
    </w:p>
    <w:p>
      <w:pPr>
        <w:pStyle w:val="Style17"/>
        <w:keepNext w:val="0"/>
        <w:keepLines w:val="0"/>
        <w:widowControl w:val="0"/>
        <w:shd w:val="clear" w:color="auto" w:fill="auto"/>
        <w:bidi w:val="0"/>
        <w:spacing w:before="0" w:after="0" w:line="240" w:lineRule="auto"/>
        <w:ind w:left="0" w:right="0" w:firstLine="720"/>
        <w:jc w:val="left"/>
      </w:pPr>
      <w:r>
        <w:rPr>
          <w:color w:val="000000"/>
          <w:spacing w:val="0"/>
          <w:w w:val="100"/>
          <w:position w:val="0"/>
          <w:shd w:val="clear" w:color="auto" w:fill="auto"/>
          <w:lang w:val="ru-RU" w:eastAsia="ru-RU" w:bidi="ru-RU"/>
        </w:rPr>
        <w:t>1. Признать жалобу общества с ограниченной ответственностью «ТБ «Формат» необоснованной.</w:t>
      </w:r>
    </w:p>
    <w:p>
      <w:pPr>
        <w:pStyle w:val="Style17"/>
        <w:keepNext w:val="0"/>
        <w:keepLines w:val="0"/>
        <w:widowControl w:val="0"/>
        <w:shd w:val="clear" w:color="auto" w:fill="auto"/>
        <w:bidi w:val="0"/>
        <w:spacing w:before="0" w:after="260" w:line="240" w:lineRule="auto"/>
        <w:ind w:left="0" w:right="0" w:firstLine="720"/>
        <w:jc w:val="left"/>
      </w:pPr>
      <w:r>
        <w:rPr>
          <w:color w:val="000000"/>
          <w:spacing w:val="0"/>
          <w:w w:val="100"/>
          <w:position w:val="0"/>
          <w:shd w:val="clear" w:color="auto" w:fill="auto"/>
          <w:lang w:val="ru-RU" w:eastAsia="ru-RU" w:bidi="ru-RU"/>
        </w:rPr>
        <w:t>2. Признать жалобу общества с ограниченной ответственностью «Подразделение транспортной безопасности «Арсенал-М» необоснованной.</w:t>
      </w:r>
    </w:p>
    <w:p>
      <w:pPr>
        <w:pStyle w:val="Style28"/>
        <w:keepNext/>
        <w:keepLines/>
        <w:widowControl w:val="0"/>
        <w:shd w:val="clear" w:color="auto" w:fill="auto"/>
        <w:bidi w:val="0"/>
        <w:spacing w:before="0" w:after="0" w:line="240" w:lineRule="auto"/>
        <w:ind w:left="0" w:right="0" w:firstLine="720"/>
        <w:jc w:val="left"/>
      </w:pPr>
      <w:bookmarkStart w:id="8" w:name="bookmark8"/>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bookmarkEnd w:id="8"/>
    </w:p>
    <w:p>
      <w:pPr>
        <w:widowControl w:val="0"/>
        <w:spacing w:line="1" w:lineRule="exact"/>
        <w:sectPr>
          <w:footnotePr>
            <w:pos w:val="pageBottom"/>
            <w:numFmt w:val="decimal"/>
            <w:numRestart w:val="continuous"/>
          </w:footnotePr>
          <w:type w:val="continuous"/>
          <w:pgSz w:w="11900" w:h="16840"/>
          <w:pgMar w:top="778" w:right="535" w:bottom="716" w:left="1097" w:header="0" w:footer="3" w:gutter="0"/>
          <w:cols w:space="720"/>
          <w:noEndnote/>
          <w:rtlGutter w:val="0"/>
          <w:docGrid w:linePitch="360"/>
        </w:sectPr>
      </w:pPr>
      <w:r>
        <mc:AlternateContent>
          <mc:Choice Requires="wps">
            <w:drawing>
              <wp:anchor distT="304800" distB="374650" distL="0" distR="0" simplePos="0" relativeHeight="125829380" behindDoc="0" locked="0" layoutInCell="1" allowOverlap="1">
                <wp:simplePos x="0" y="0"/>
                <wp:positionH relativeFrom="page">
                  <wp:posOffset>739775</wp:posOffset>
                </wp:positionH>
                <wp:positionV relativeFrom="paragraph">
                  <wp:posOffset>304800</wp:posOffset>
                </wp:positionV>
                <wp:extent cx="1700530" cy="231775"/>
                <wp:wrapTopAndBottom/>
                <wp:docPr id="9" name="Shape 9"/>
                <a:graphic xmlns:a="http://schemas.openxmlformats.org/drawingml/2006/main">
                  <a:graphicData uri="http://schemas.microsoft.com/office/word/2010/wordprocessingShape">
                    <wps:wsp>
                      <wps:cNvSpPr txBox="1"/>
                      <wps:spPr>
                        <a:xfrm>
                          <a:ext cx="1700530"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5pt;margin-top:24.pt;width:133.90000000000001pt;height:18.25pt;z-index:-125829373;mso-wrap-distance-left:0;mso-wrap-distance-top:24.pt;mso-wrap-distance-right:0;mso-wrap-distance-bottom:29.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4650" distB="0" distL="0" distR="1786255" simplePos="0" relativeHeight="125829382" behindDoc="0" locked="0" layoutInCell="1" allowOverlap="1">
            <wp:simplePos x="0" y="0"/>
            <wp:positionH relativeFrom="page">
              <wp:posOffset>2660015</wp:posOffset>
            </wp:positionH>
            <wp:positionV relativeFrom="paragraph">
              <wp:posOffset>374650</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777240</wp:posOffset>
                </wp:positionV>
                <wp:extent cx="1283335" cy="103505"/>
                <wp:wrapNone/>
                <wp:docPr id="13" name="Shape 1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45000000000002pt;margin-top:61.200000000000003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466090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1" type="#_x0000_t202" style="position:absolute;margin-left:242.09999999999999pt;margin-top:36.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04800" distB="374650" distL="0" distR="0" simplePos="0" relativeHeight="125829383" behindDoc="0" locked="0" layoutInCell="1" allowOverlap="1">
                <wp:simplePos x="0" y="0"/>
                <wp:positionH relativeFrom="page">
                  <wp:posOffset>5921375</wp:posOffset>
                </wp:positionH>
                <wp:positionV relativeFrom="paragraph">
                  <wp:posOffset>304800</wp:posOffset>
                </wp:positionV>
                <wp:extent cx="1252855" cy="231775"/>
                <wp:wrapTopAndBottom/>
                <wp:docPr id="17" name="Shape 17"/>
                <a:graphic xmlns:a="http://schemas.openxmlformats.org/drawingml/2006/main">
                  <a:graphicData uri="http://schemas.microsoft.com/office/word/2010/wordprocessingShape">
                    <wps:wsp>
                      <wps:cNvSpPr txBox="1"/>
                      <wps:spPr>
                        <a:xfrm>
                          <a:ext cx="1252855"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3" type="#_x0000_t202" style="position:absolute;margin-left:466.25pt;margin-top:24.pt;width:98.650000000000006pt;height:18.25pt;z-index:-125829370;mso-wrap-distance-left:0;mso-wrap-distance-top:24.pt;mso-wrap-distance-right:0;mso-wrap-distance-bottom:29.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Парнищева Марина Михайловна</w:t>
      </w:r>
    </w:p>
    <w:p>
      <w:pPr>
        <w:pStyle w:val="Style31"/>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78С8СЕА2ВЕ2658А4665639ВЕА268ОВ2С</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12.08.2024 </w:t>
      </w:r>
      <w:r>
        <w:rPr>
          <w:color w:val="8A8A8A"/>
          <w:spacing w:val="0"/>
          <w:w w:val="100"/>
          <w:position w:val="0"/>
          <w:shd w:val="clear" w:color="auto" w:fill="auto"/>
          <w:lang w:val="ru-RU" w:eastAsia="ru-RU" w:bidi="ru-RU"/>
        </w:rPr>
        <w:t xml:space="preserve">по </w:t>
      </w:r>
      <w:r>
        <w:rPr>
          <w:color w:val="434343"/>
          <w:spacing w:val="0"/>
          <w:w w:val="100"/>
          <w:position w:val="0"/>
          <w:shd w:val="clear" w:color="auto" w:fill="auto"/>
          <w:lang w:val="ru-RU" w:eastAsia="ru-RU" w:bidi="ru-RU"/>
        </w:rPr>
        <w:t>05.11.2025</w:t>
      </w:r>
    </w:p>
    <w:p>
      <w:pPr>
        <w:widowControl w:val="0"/>
        <w:spacing w:line="1" w:lineRule="exact"/>
        <w:sectPr>
          <w:footnotePr>
            <w:pos w:val="pageBottom"/>
            <w:numFmt w:val="decimal"/>
            <w:numRestart w:val="continuous"/>
          </w:footnotePr>
          <w:type w:val="continuous"/>
          <w:pgSz w:w="11900" w:h="16840"/>
          <w:pgMar w:top="1575" w:right="551" w:bottom="5645" w:left="1111" w:header="0" w:footer="3" w:gutter="0"/>
          <w:cols w:space="720"/>
          <w:noEndnote/>
          <w:rtlGutter w:val="0"/>
          <w:docGrid w:linePitch="360"/>
        </w:sectPr>
      </w:pPr>
      <w:r>
        <mc:AlternateContent>
          <mc:Choice Requires="wps">
            <w:drawing>
              <wp:anchor distT="25400" distB="371475" distL="0" distR="0" simplePos="0" relativeHeight="125829385" behindDoc="0" locked="0" layoutInCell="1" allowOverlap="1">
                <wp:simplePos x="0" y="0"/>
                <wp:positionH relativeFrom="page">
                  <wp:posOffset>736600</wp:posOffset>
                </wp:positionH>
                <wp:positionV relativeFrom="paragraph">
                  <wp:posOffset>25400</wp:posOffset>
                </wp:positionV>
                <wp:extent cx="1246505" cy="234950"/>
                <wp:wrapTopAndBottom/>
                <wp:docPr id="19" name="Shape 19"/>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28"/>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Члены комиссии:</w:t>
                            </w:r>
                            <w:bookmarkEnd w:id="10"/>
                          </w:p>
                        </w:txbxContent>
                      </wps:txbx>
                      <wps:bodyPr wrap="none" lIns="0" tIns="0" rIns="0" bIns="0">
                        <a:noAutoFit/>
                      </wps:bodyPr>
                    </wps:wsp>
                  </a:graphicData>
                </a:graphic>
              </wp:anchor>
            </w:drawing>
          </mc:Choice>
          <mc:Fallback>
            <w:pict>
              <v:shape id="_x0000_s1045" type="#_x0000_t202" style="position:absolute;margin-left:58.pt;margin-top:2.pt;width:98.150000000000006pt;height:18.5pt;z-index:-125829368;mso-wrap-distance-left:0;mso-wrap-distance-top:2.pt;mso-wrap-distance-right:0;mso-wrap-distance-bottom:29.25pt;mso-position-horizontal-relative:page" filled="f" stroked="f">
                <v:textbox inset="0,0,0,0">
                  <w:txbxContent>
                    <w:p>
                      <w:pPr>
                        <w:pStyle w:val="Style28"/>
                        <w:keepNext/>
                        <w:keepLines/>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ru-RU" w:eastAsia="ru-RU" w:bidi="ru-RU"/>
                        </w:rPr>
                        <w:t>Члены комиссии:</w:t>
                      </w:r>
                      <w:bookmarkEnd w:id="10"/>
                    </w:p>
                  </w:txbxContent>
                </v:textbox>
                <w10:wrap type="topAndBottom" anchorx="page"/>
              </v:shape>
            </w:pict>
          </mc:Fallback>
        </mc:AlternateContent>
      </w:r>
      <w:r>
        <w:drawing>
          <wp:anchor distT="98425" distB="0" distL="0" distR="1786255" simplePos="0" relativeHeight="125829387" behindDoc="0" locked="0" layoutInCell="1" allowOverlap="1">
            <wp:simplePos x="0" y="0"/>
            <wp:positionH relativeFrom="page">
              <wp:posOffset>2660015</wp:posOffset>
            </wp:positionH>
            <wp:positionV relativeFrom="paragraph">
              <wp:posOffset>98425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497840</wp:posOffset>
                </wp:positionV>
                <wp:extent cx="1286510" cy="103505"/>
                <wp:wrapNone/>
                <wp:docPr id="23" name="Shape 2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45000000000002pt;margin-top:39.200000000000003pt;width:101.3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186690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9999999999999pt;margin-top:14.7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 distB="371475" distL="0" distR="0" simplePos="0" relativeHeight="125829388" behindDoc="0" locked="0" layoutInCell="1" allowOverlap="1">
                <wp:simplePos x="0" y="0"/>
                <wp:positionH relativeFrom="page">
                  <wp:posOffset>6085840</wp:posOffset>
                </wp:positionH>
                <wp:positionV relativeFrom="paragraph">
                  <wp:posOffset>25400</wp:posOffset>
                </wp:positionV>
                <wp:extent cx="1090930" cy="234950"/>
                <wp:wrapTopAndBottom/>
                <wp:docPr id="27" name="Shape 27"/>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53" type="#_x0000_t202" style="position:absolute;margin-left:479.19999999999999pt;margin-top:2.pt;width:85.900000000000006pt;height:18.5pt;z-index:-125829365;mso-wrap-distance-left:0;mso-wrap-distance-top:2.pt;mso-wrap-distance-right:0;mso-wrap-distance-bottom:29.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Стрелкова</w:t>
                      </w:r>
                    </w:p>
                  </w:txbxContent>
                </v:textbox>
                <w10:wrap type="topAndBottom" anchorx="page"/>
              </v:shape>
            </w:pict>
          </mc:Fallback>
        </mc:AlternateContent>
      </w:r>
    </w:p>
    <w:p>
      <w:pPr>
        <w:pStyle w:val="Style31"/>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Стрелкова Елизавета Викторовна </w:t>
      </w: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5ЕС860Е482А17Е0С86Е8СС6991</w:t>
      </w:r>
      <w:r>
        <w:rPr>
          <w:color w:val="434343"/>
          <w:spacing w:val="0"/>
          <w:w w:val="100"/>
          <w:position w:val="0"/>
          <w:shd w:val="clear" w:color="auto" w:fill="auto"/>
          <w:lang w:val="ru-RU" w:eastAsia="ru-RU" w:bidi="ru-RU"/>
        </w:rPr>
        <w:t>СЗА2Е1</w:t>
      </w:r>
    </w:p>
    <w:p>
      <w:pPr>
        <w:pStyle w:val="Style31"/>
        <w:keepNext w:val="0"/>
        <w:keepLines w:val="0"/>
        <w:widowControl w:val="0"/>
        <w:shd w:val="clear" w:color="auto" w:fill="auto"/>
        <w:bidi w:val="0"/>
        <w:spacing w:before="0" w:after="160" w:line="266" w:lineRule="auto"/>
        <w:ind w:right="0" w:firstLine="0"/>
        <w:jc w:val="left"/>
      </w:pPr>
      <w:r>
        <w:rPr>
          <w:spacing w:val="0"/>
          <w:w w:val="100"/>
          <w:position w:val="0"/>
          <w:shd w:val="clear" w:color="auto" w:fill="auto"/>
          <w:lang w:val="ru-RU" w:eastAsia="ru-RU" w:bidi="ru-RU"/>
        </w:rPr>
        <w:t xml:space="preserve">Действителен </w:t>
      </w:r>
      <w:r>
        <w:rPr>
          <w:color w:val="43434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04.10.2023 </w:t>
      </w:r>
      <w:r>
        <w:rPr>
          <w:color w:val="8A8A8A"/>
          <w:spacing w:val="0"/>
          <w:w w:val="100"/>
          <w:position w:val="0"/>
          <w:shd w:val="clear" w:color="auto" w:fill="auto"/>
          <w:lang w:val="ru-RU" w:eastAsia="ru-RU" w:bidi="ru-RU"/>
        </w:rPr>
        <w:t xml:space="preserve">по </w:t>
      </w:r>
      <w:r>
        <w:rPr>
          <w:color w:val="434343"/>
          <w:spacing w:val="0"/>
          <w:w w:val="100"/>
          <w:position w:val="0"/>
          <w:shd w:val="clear" w:color="auto" w:fill="auto"/>
          <w:lang w:val="ru-RU" w:eastAsia="ru-RU" w:bidi="ru-RU"/>
        </w:rPr>
        <w:t>27.12.2024</w:t>
      </w:r>
    </w:p>
    <w:p>
      <w:pPr>
        <w:pStyle w:val="Style17"/>
        <w:keepNext w:val="0"/>
        <w:keepLines w:val="0"/>
        <w:widowControl w:val="0"/>
        <w:shd w:val="clear" w:color="auto" w:fill="auto"/>
        <w:bidi w:val="0"/>
        <w:spacing w:before="0" w:after="660" w:line="240" w:lineRule="auto"/>
        <w:ind w:left="1940" w:right="0" w:firstLine="0"/>
        <w:jc w:val="left"/>
      </w:pPr>
      <w:r>
        <w:drawing>
          <wp:anchor distT="0" distB="0" distL="114300" distR="1900555" simplePos="0" relativeHeight="125829390" behindDoc="0" locked="0" layoutInCell="1" allowOverlap="1">
            <wp:simplePos x="0" y="0"/>
            <wp:positionH relativeFrom="page">
              <wp:posOffset>2660015</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466090</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5000000000002pt;margin-top:36.700000000000003pt;width:100.8pt;height:7.90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3074670</wp:posOffset>
                </wp:positionH>
                <wp:positionV relativeFrom="paragraph">
                  <wp:posOffset>151765</wp:posOffset>
                </wp:positionV>
                <wp:extent cx="1722120" cy="255905"/>
                <wp:wrapNone/>
                <wp:docPr id="33" name="Shape 3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9" type="#_x0000_t202" style="position:absolute;margin-left:242.09999999999999pt;margin-top:11.950000000000001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И.И. Левченко</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Левченко Иван Игоревич</w:t>
      </w:r>
    </w:p>
    <w:p>
      <w:pPr>
        <w:pStyle w:val="Style31"/>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34343"/>
          <w:spacing w:val="0"/>
          <w:w w:val="100"/>
          <w:position w:val="0"/>
          <w:shd w:val="clear" w:color="auto" w:fill="auto"/>
          <w:lang w:val="ru-RU" w:eastAsia="ru-RU" w:bidi="ru-RU"/>
        </w:rPr>
        <w:t>5Е62СА182Е136О74ОЭСО8641С89В8Е7Е</w:t>
      </w:r>
    </w:p>
    <w:p>
      <w:pPr>
        <w:pStyle w:val="Style31"/>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Действителен с 07.06.2024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31.08.2025</w:t>
      </w:r>
    </w:p>
    <w:p>
      <w:pPr>
        <w:pStyle w:val="Style28"/>
        <w:keepNext/>
        <w:keepLines/>
        <w:widowControl w:val="0"/>
        <w:shd w:val="clear" w:color="auto" w:fill="auto"/>
        <w:bidi w:val="0"/>
        <w:spacing w:before="0" w:after="660" w:line="240" w:lineRule="auto"/>
        <w:ind w:left="1740" w:right="0" w:firstLine="0"/>
        <w:jc w:val="left"/>
      </w:pPr>
      <w:r>
        <w:drawing>
          <wp:anchor distT="0" distB="0" distL="114300" distR="1900555" simplePos="0" relativeHeight="125829391" behindDoc="0" locked="0" layoutInCell="1" allowOverlap="1">
            <wp:simplePos x="0" y="0"/>
            <wp:positionH relativeFrom="page">
              <wp:posOffset>2660015</wp:posOffset>
            </wp:positionH>
            <wp:positionV relativeFrom="paragraph">
              <wp:posOffset>63500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3117215</wp:posOffset>
                </wp:positionH>
                <wp:positionV relativeFrom="paragraph">
                  <wp:posOffset>466090</wp:posOffset>
                </wp:positionV>
                <wp:extent cx="1283335" cy="103505"/>
                <wp:wrapNone/>
                <wp:docPr id="37" name="Shape 3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45.45000000000002pt;margin-top:36.700000000000003pt;width:101.05pt;height:8.1500000000000004pt;z-index:25165774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3074670</wp:posOffset>
                </wp:positionH>
                <wp:positionV relativeFrom="paragraph">
                  <wp:posOffset>154940</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5" type="#_x0000_t202" style="position:absolute;margin-left:242.09999999999999pt;margin-top:12.200000000000001pt;width:135.59999999999999pt;height:20.150000000000002pt;z-index:25165774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12" w:name="bookmark12"/>
      <w:r>
        <w:rPr>
          <w:color w:val="000000"/>
          <w:spacing w:val="0"/>
          <w:w w:val="100"/>
          <w:position w:val="0"/>
          <w:shd w:val="clear" w:color="auto" w:fill="auto"/>
          <w:lang w:val="ru-RU" w:eastAsia="ru-RU" w:bidi="ru-RU"/>
        </w:rPr>
        <w:t>Н.В. Бутковская</w:t>
      </w:r>
      <w:bookmarkEnd w:id="12"/>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Бутковская Надежда Васильевна</w:t>
      </w:r>
    </w:p>
    <w:p>
      <w:pPr>
        <w:pStyle w:val="Style31"/>
        <w:keepNext w:val="0"/>
        <w:keepLines w:val="0"/>
        <w:widowControl w:val="0"/>
        <w:shd w:val="clear" w:color="auto" w:fill="auto"/>
        <w:bidi w:val="0"/>
        <w:spacing w:before="0" w:after="0" w:line="240" w:lineRule="auto"/>
        <w:ind w:right="0" w:firstLine="0"/>
        <w:jc w:val="left"/>
      </w:pPr>
      <w:r>
        <w:rPr>
          <w:color w:val="43434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00ЕААЕВ3840О277ВЕ84050АЕ8СЗАЕ355Е</w:t>
      </w:r>
      <w:r>
        <w:rPr>
          <w:color w:val="232323"/>
          <w:spacing w:val="0"/>
          <w:w w:val="100"/>
          <w:position w:val="0"/>
          <w:shd w:val="clear" w:color="auto" w:fill="auto"/>
          <w:lang w:val="ru-RU" w:eastAsia="ru-RU" w:bidi="ru-RU"/>
        </w:rPr>
        <w:t>С</w:t>
      </w:r>
    </w:p>
    <w:p>
      <w:pPr>
        <w:pStyle w:val="Style31"/>
        <w:keepNext w:val="0"/>
        <w:keepLines w:val="0"/>
        <w:widowControl w:val="0"/>
        <w:shd w:val="clear" w:color="auto" w:fill="auto"/>
        <w:bidi w:val="0"/>
        <w:spacing w:before="0" w:after="80" w:line="240" w:lineRule="auto"/>
        <w:ind w:right="0" w:firstLine="0"/>
        <w:jc w:val="left"/>
      </w:pPr>
      <w:r>
        <w:rPr>
          <w:spacing w:val="0"/>
          <w:w w:val="100"/>
          <w:position w:val="0"/>
          <w:shd w:val="clear" w:color="auto" w:fill="auto"/>
          <w:lang w:val="ru-RU" w:eastAsia="ru-RU" w:bidi="ru-RU"/>
        </w:rPr>
        <w:t xml:space="preserve">Действителен </w:t>
      </w:r>
      <w:r>
        <w:rPr>
          <w:color w:val="232323"/>
          <w:spacing w:val="0"/>
          <w:w w:val="100"/>
          <w:position w:val="0"/>
          <w:shd w:val="clear" w:color="auto" w:fill="auto"/>
          <w:lang w:val="ru-RU" w:eastAsia="ru-RU" w:bidi="ru-RU"/>
        </w:rPr>
        <w:t xml:space="preserve">с </w:t>
      </w:r>
      <w:r>
        <w:rPr>
          <w:color w:val="434343"/>
          <w:spacing w:val="0"/>
          <w:w w:val="100"/>
          <w:position w:val="0"/>
          <w:shd w:val="clear" w:color="auto" w:fill="auto"/>
          <w:lang w:val="ru-RU" w:eastAsia="ru-RU" w:bidi="ru-RU"/>
        </w:rPr>
        <w:t xml:space="preserve">03.06.2024 </w:t>
      </w:r>
      <w:r>
        <w:rPr>
          <w:color w:val="8A8A8A"/>
          <w:spacing w:val="0"/>
          <w:w w:val="100"/>
          <w:position w:val="0"/>
          <w:shd w:val="clear" w:color="auto" w:fill="auto"/>
          <w:lang w:val="ru-RU" w:eastAsia="ru-RU" w:bidi="ru-RU"/>
        </w:rPr>
        <w:t xml:space="preserve">по </w:t>
      </w:r>
      <w:r>
        <w:rPr>
          <w:color w:val="434343"/>
          <w:spacing w:val="0"/>
          <w:w w:val="100"/>
          <w:position w:val="0"/>
          <w:shd w:val="clear" w:color="auto" w:fill="auto"/>
          <w:lang w:val="ru-RU" w:eastAsia="ru-RU" w:bidi="ru-RU"/>
        </w:rPr>
        <w:t>27.08.2025</w:t>
      </w:r>
    </w:p>
    <w:sectPr>
      <w:footnotePr>
        <w:pos w:val="pageBottom"/>
        <w:numFmt w:val="decimal"/>
        <w:numRestart w:val="continuous"/>
      </w:footnotePr>
      <w:type w:val="continuous"/>
      <w:pgSz w:w="11900" w:h="16840"/>
      <w:pgMar w:top="1575" w:right="551" w:bottom="157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9965690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2024-4676</w:t>
                          </w:r>
                        </w:p>
                      </w:txbxContent>
                    </wps:txbx>
                    <wps:bodyPr wrap="none" lIns="0" tIns="0" rIns="0" bIns="0">
                      <a:spAutoFit/>
                    </wps:bodyPr>
                  </wps:wsp>
                </a:graphicData>
              </a:graphic>
            </wp:anchor>
          </w:drawing>
        </mc:Choice>
        <mc:Fallback>
          <w:pict>
            <v:shape id="_x0000_s1029" type="#_x0000_t202" style="position:absolute;margin-left:57.050000000000004pt;margin-top:784.7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2024-4676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2024-4676</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2024-4676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696595</wp:posOffset>
              </wp:positionV>
              <wp:extent cx="85090" cy="69850"/>
              <wp:wrapNone/>
              <wp:docPr id="1" name="Shape 1"/>
              <a:graphic xmlns:a="http://schemas.openxmlformats.org/drawingml/2006/main">
                <a:graphicData uri="http://schemas.microsoft.com/office/word/2010/wordprocessingShape">
                  <wps:wsp>
                    <wps:cNvSpPr txBox="1"/>
                    <wps:spPr>
                      <a:xfrm>
                        <a:ext cx="8509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8.80000000000001pt;margin-top:54.850000000000001pt;width:6.7000000000000002pt;height:5.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fldSimple w:instr=" PAGE \* MERGEFORMAT ">
                      <w:r>
                        <w:rPr>
                          <w:color w:val="000000"/>
                          <w:spacing w:val="0"/>
                          <w:w w:val="100"/>
                          <w:position w:val="0"/>
                          <w:sz w:val="16"/>
                          <w:szCs w:val="16"/>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20"/>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34"/>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val="0"/>
      <w:bCs w:val="0"/>
      <w:i w:val="0"/>
      <w:iCs w:val="0"/>
      <w:smallCaps w:val="0"/>
      <w:strike w:val="0"/>
      <w:color w:val="476198"/>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32323"/>
      <w:sz w:val="11"/>
      <w:szCs w:val="11"/>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32"/>
      <w:szCs w:val="32"/>
      <w:u w:val="none"/>
    </w:rPr>
  </w:style>
  <w:style w:type="character" w:customStyle="1" w:styleId="CharStyle29">
    <w:name w:val="Заголовок №3_"/>
    <w:basedOn w:val="DefaultParagraphFont"/>
    <w:link w:val="Style28"/>
    <w:rPr>
      <w:rFonts w:ascii="Times New Roman" w:eastAsia="Times New Roman" w:hAnsi="Times New Roman" w:cs="Times New Roman"/>
      <w:b w:val="0"/>
      <w:bCs w:val="0"/>
      <w:i w:val="0"/>
      <w:iCs w:val="0"/>
      <w:smallCaps w:val="0"/>
      <w:strike w:val="0"/>
      <w:sz w:val="26"/>
      <w:szCs w:val="26"/>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646464"/>
      <w:sz w:val="12"/>
      <w:szCs w:val="12"/>
      <w:u w:val="none"/>
    </w:rPr>
  </w:style>
  <w:style w:type="paragraph" w:customStyle="1" w:styleId="Style2">
    <w:name w:val="Основной текст (5)"/>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8"/>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Основной текст (4)"/>
    <w:basedOn w:val="Normal"/>
    <w:link w:val="CharStyle11"/>
    <w:pPr>
      <w:widowControl w:val="0"/>
      <w:shd w:val="clear" w:color="auto" w:fill="auto"/>
      <w:spacing w:after="220"/>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Заголовок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24">
    <w:name w:val="Заголовок №1"/>
    <w:basedOn w:val="Normal"/>
    <w:link w:val="CharStyle25"/>
    <w:pPr>
      <w:widowControl w:val="0"/>
      <w:shd w:val="clear" w:color="auto" w:fill="auto"/>
      <w:spacing w:after="400"/>
      <w:outlineLvl w:val="0"/>
    </w:pPr>
    <w:rPr>
      <w:rFonts w:ascii="Arial" w:eastAsia="Arial" w:hAnsi="Arial" w:cs="Arial"/>
      <w:b w:val="0"/>
      <w:bCs w:val="0"/>
      <w:i w:val="0"/>
      <w:iCs w:val="0"/>
      <w:smallCaps w:val="0"/>
      <w:strike w:val="0"/>
      <w:sz w:val="32"/>
      <w:szCs w:val="32"/>
      <w:u w:val="none"/>
    </w:rPr>
  </w:style>
  <w:style w:type="paragraph" w:customStyle="1" w:styleId="Style28">
    <w:name w:val="Заголовок №3"/>
    <w:basedOn w:val="Normal"/>
    <w:link w:val="CharStyle29"/>
    <w:pPr>
      <w:widowControl w:val="0"/>
      <w:shd w:val="clear" w:color="auto" w:fill="auto"/>
      <w:spacing w:after="130"/>
      <w:outlineLvl w:val="2"/>
    </w:pPr>
    <w:rPr>
      <w:rFonts w:ascii="Times New Roman" w:eastAsia="Times New Roman" w:hAnsi="Times New Roman" w:cs="Times New Roman"/>
      <w:b w:val="0"/>
      <w:bCs w:val="0"/>
      <w:i w:val="0"/>
      <w:iCs w:val="0"/>
      <w:smallCaps w:val="0"/>
      <w:strike w:val="0"/>
      <w:sz w:val="26"/>
      <w:szCs w:val="26"/>
      <w:u w:val="none"/>
    </w:rPr>
  </w:style>
  <w:style w:type="paragraph" w:customStyle="1" w:styleId="Style31">
    <w:name w:val="Основной текст (2)"/>
    <w:basedOn w:val="Normal"/>
    <w:link w:val="CharStyle32"/>
    <w:pPr>
      <w:widowControl w:val="0"/>
      <w:shd w:val="clear" w:color="auto" w:fill="auto"/>
      <w:ind w:left="3100"/>
    </w:pPr>
    <w:rPr>
      <w:rFonts w:ascii="Arial" w:eastAsia="Arial" w:hAnsi="Arial" w:cs="Arial"/>
      <w:b w:val="0"/>
      <w:bCs w:val="0"/>
      <w:i w:val="0"/>
      <w:iCs w:val="0"/>
      <w:smallCaps w:val="0"/>
      <w:strike w:val="0"/>
      <w:color w:val="64646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