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after="180"/>
        <w:ind w:left="0" w:right="0" w:firstLine="0"/>
        <w:jc w:val="center"/>
      </w:pPr>
      <w:r>
        <w:rPr>
          <w:spacing w:val="0"/>
          <w:w w:val="100"/>
          <w:position w:val="0"/>
          <w:shd w:val="clear" w:color="auto" w:fill="auto"/>
          <w:lang w:val="ru-RU" w:eastAsia="ru-RU" w:bidi="ru-RU"/>
        </w:rPr>
        <w:t>Федеральной антимонопольной службы</w:t>
        <w:br/>
        <w:t>по Курганской области</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r>
    </w:p>
    <w:p>
      <w:pPr>
        <w:pStyle w:val="Style2"/>
        <w:keepNext w:val="0"/>
        <w:keepLines w:val="0"/>
        <w:widowControl w:val="0"/>
        <w:shd w:val="clear" w:color="auto" w:fill="auto"/>
        <w:bidi w:val="0"/>
        <w:spacing w:before="0" w:after="240" w:line="269" w:lineRule="auto"/>
        <w:ind w:left="0" w:right="0" w:firstLine="0"/>
        <w:jc w:val="center"/>
      </w:pPr>
      <w:r>
        <w:rPr>
          <w:spacing w:val="0"/>
          <w:w w:val="100"/>
          <w:position w:val="0"/>
          <w:shd w:val="clear" w:color="auto" w:fill="auto"/>
          <w:lang w:val="ru-RU" w:eastAsia="ru-RU" w:bidi="ru-RU"/>
        </w:rPr>
        <w:t>е-тай: 1о45@Га8.§оу.ги</w:t>
      </w:r>
    </w:p>
    <w:p>
      <w:pPr>
        <w:pStyle w:val="Style10"/>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0.09.2024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АИ/2932/2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0"/>
        <w:ind w:left="0" w:right="0" w:firstLine="0"/>
        <w:jc w:val="both"/>
      </w:pPr>
      <w:r>
        <w:rPr>
          <w:b w:val="0"/>
          <w:bCs w:val="0"/>
          <w:spacing w:val="0"/>
          <w:w w:val="100"/>
          <w:position w:val="0"/>
          <w:shd w:val="clear" w:color="auto" w:fill="auto"/>
          <w:lang w:val="ru-RU" w:eastAsia="ru-RU" w:bidi="ru-RU"/>
        </w:rPr>
        <w:t xml:space="preserve">На№  от</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Государственное бюджетное учреждение «Курганская больница скорой медицинской помощи»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640020, Курганская область, г. Курган, ул.</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Кирова, д. 65</w:t>
      </w:r>
    </w:p>
    <w:p>
      <w:pPr>
        <w:pStyle w:val="Style14"/>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кЪ§тр3@кигдапоЫ.ги, Ъ8тр-1о^@таП.ги; 1о^@Ъ8тр-45.ги; Ъик@Ъ8тр-45</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"ЮЖНО-УРАЛЬСКИЙ ЦЕНТР СНАБЖЕНИЯ"</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456317, Челябинская обл., г. Миасс, ул.</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Богачева,д.12</w:t>
      </w:r>
    </w:p>
    <w:p>
      <w:pPr>
        <w:pStyle w:val="Style14"/>
        <w:keepNext w:val="0"/>
        <w:keepLines w:val="0"/>
        <w:widowControl w:val="0"/>
        <w:shd w:val="clear" w:color="auto" w:fill="auto"/>
        <w:bidi w:val="0"/>
        <w:spacing w:before="0" w:after="0" w:line="240" w:lineRule="auto"/>
        <w:ind w:left="0" w:right="0" w:firstLine="0"/>
        <w:jc w:val="both"/>
        <w:sectPr>
          <w:footerReference w:type="default" r:id="rId5"/>
          <w:footerReference w:type="first" r:id="rId6"/>
          <w:footnotePr>
            <w:pos w:val="pageBottom"/>
            <w:numFmt w:val="decimal"/>
            <w:numRestart w:val="continuous"/>
          </w:footnotePr>
          <w:pgSz w:w="11900" w:h="16840"/>
          <w:pgMar w:top="1162" w:right="613" w:bottom="1197" w:left="1140" w:header="0" w:footer="3" w:gutter="0"/>
          <w:pgNumType w:start="1"/>
          <w:cols w:num="2" w:space="720" w:equalWidth="0">
            <w:col w:w="4224" w:space="1042"/>
            <w:col w:w="4882"/>
          </w:cols>
          <w:noEndnote/>
          <w:titlePg/>
          <w:rtlGutter w:val="0"/>
          <w:docGrid w:linePitch="360"/>
        </w:sectPr>
      </w:pPr>
      <w:r>
        <w:rPr>
          <w:color w:val="000000"/>
          <w:spacing w:val="0"/>
          <w:w w:val="100"/>
          <w:position w:val="0"/>
          <w:shd w:val="clear" w:color="auto" w:fill="auto"/>
          <w:lang w:val="ru-RU" w:eastAsia="ru-RU" w:bidi="ru-RU"/>
        </w:rPr>
        <w:t>т&amp;@уигс8.ги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8" w:after="10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44" w:right="0" w:bottom="1177" w:left="0" w:header="0" w:footer="3" w:gutter="0"/>
          <w:cols w:space="720"/>
          <w:noEndnote/>
          <w:rtlGutter w:val="0"/>
          <w:docGrid w:linePitch="360"/>
        </w:sectPr>
      </w:pP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Решение по делу о нарушении законодательства о контрактной</w:t>
        <w:br/>
        <w:t>системе в сфере закупок № 045/06/106-521/2024</w:t>
      </w:r>
    </w:p>
    <w:p>
      <w:pPr>
        <w:pStyle w:val="Style14"/>
        <w:keepNext w:val="0"/>
        <w:keepLines w:val="0"/>
        <w:widowControl w:val="0"/>
        <w:shd w:val="clear" w:color="auto" w:fill="auto"/>
        <w:tabs>
          <w:tab w:pos="9154" w:val="left"/>
        </w:tabs>
        <w:bidi w:val="0"/>
        <w:spacing w:before="0" w:after="260" w:line="240" w:lineRule="auto"/>
        <w:ind w:left="0" w:right="0" w:firstLine="0"/>
        <w:jc w:val="both"/>
      </w:pPr>
      <w:r>
        <w:rPr>
          <w:color w:val="000000"/>
          <w:spacing w:val="0"/>
          <w:w w:val="100"/>
          <w:position w:val="0"/>
          <w:shd w:val="clear" w:color="auto" w:fill="auto"/>
          <w:lang w:val="ru-RU" w:eastAsia="ru-RU" w:bidi="ru-RU"/>
        </w:rPr>
        <w:t>25.09.2024 г.</w:t>
        <w:tab/>
        <w:t>г. Курган</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Председатель Комиссии: </w:t>
      </w:r>
      <w:r>
        <w:rPr>
          <w:color w:val="000000"/>
          <w:spacing w:val="0"/>
          <w:w w:val="100"/>
          <w:position w:val="0"/>
          <w:shd w:val="clear" w:color="auto" w:fill="auto"/>
          <w:lang w:val="ru-RU" w:eastAsia="ru-RU" w:bidi="ru-RU"/>
        </w:rPr>
        <w:t>- Иванова А.В. - Врио руководителя Управления Федеральной антимонопольной службы по Курганской области;</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Дудина М.С.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Чеботина М.П.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участии в заседании Комиссии представителей: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заказчика - Государственного бюджетного учреждения «Курганская больница скорой медицинской помощи» (далее - ГБУ «Курганская БСМП», Заказчик) Умновой С.С., действующей на основании доверенности б/н от 23.09.2024, Евдокимовой В.А., действующей на основании доверенности б/н от 23.09.2024</w:t>
      </w:r>
    </w:p>
    <w:p>
      <w:pPr>
        <w:pStyle w:val="Style14"/>
        <w:keepNext w:val="0"/>
        <w:keepLines w:val="0"/>
        <w:widowControl w:val="0"/>
        <w:shd w:val="clear" w:color="auto" w:fill="auto"/>
        <w:bidi w:val="0"/>
        <w:spacing w:before="0" w:after="660" w:line="240" w:lineRule="auto"/>
        <w:ind w:left="0" w:right="0" w:firstLine="740"/>
        <w:jc w:val="both"/>
      </w:pPr>
      <w:r>
        <w:rPr>
          <w:color w:val="000000"/>
          <w:spacing w:val="0"/>
          <w:w w:val="100"/>
          <w:position w:val="0"/>
          <w:shd w:val="clear" w:color="auto" w:fill="auto"/>
          <w:lang w:val="ru-RU" w:eastAsia="ru-RU" w:bidi="ru-RU"/>
        </w:rPr>
        <w:t>заявителя - Общества с ограниченной ответственностью «ЮЖНО-УРАЛЬСКИЙ ЦЕНТР СНАБЖЕНИЯ» (далее - ООО «ЮУРЦС», Заявитель, Общество) Суворина Ю.Г., согласно выписки из ЕГРЮЛ является генеральным директором ООО «ЮЖНО</w:t>
        <w:softHyphen/>
        <w:t>УРАЛЬСКИЙ ЦЕНТР СНАБЖЕНИЯ» (посредством видеоконференцсвязи),</w:t>
      </w:r>
    </w:p>
    <w:p>
      <w:pPr>
        <w:pStyle w:val="Style17"/>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1111111111111111111111</w:t>
      </w:r>
      <w:bookmarkEnd w:id="2"/>
    </w:p>
    <w:p>
      <w:pPr>
        <w:pStyle w:val="Style14"/>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рассмотрев жалобу ООО «ЮЖНО-УРАЛЬСКИЙ ЦЕНТР СНАБЖЕНИЯ» на действия ГБУ «Курганская БСМП» при осуществлении закупки путем проведения электронного аукциона на поставку медицинского оборудования для оснащения объекта ГБУ «Курганская БСМП» (Монитор пациента многофункциональный) (извещение № 0343300002624000231), и проведя внеплановую проверку, руководствуясь статьями 99, 105,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1 Положения о Федеральной антимонопольной службе, утвержденного Постановлением Правительства РФ от 30.06.2004 № 331 (далее - Положение), Федеральная антимонопольная служба (ФАС России) является уполномоченным федеральным органом исполнительной власти, осуществляющим функции по контролю за соблюдением антимонопольного законодательства, законодательства в сфере закупок товаров, работ, услуг для обеспечения государственных и муниципальных нужд и в сфере закупок товаров, работ, услуг отдельными видами юридических лиц, а также по согласованию применения закрытых способов определения поставщиков (подрядчиков, исполнителей).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пункта 3 Положения, Федеральная антимонопольная служба в своей деятельности руководствуется Конституцией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международными договорами Российской Федерации, а также Положением.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5.3.1.12 Положения, ФАС России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В соответствии с пунктом 5.3.9 Положения, ФАС России рассматривает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и приостанавливает определение поставщика (подрядчика, исполнителя) и заключение контракта до рассмотрения жалобы по существу в случаях и порядке,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пунктом 4 Положения, Федеральная антимонопольная служба осуществляет свою деятельность непосредственно и через свои территориальные органы.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6.1.7 Положения о территориальном органе Федеральной антимонопольной службы, утвержденного Приказом ФАС России от 23.07.2015 № 649/15, территориальный орган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а также бюджетным учреждением либо иным юридическим лицом в соответствии с частями 1, 4 и 5 статьи 15 Федерального закона от 05.04.2013 № 44-ФЗ «О контрактной системе в сфере закупок товаров, работ, услуг для обеспечения государственных и муниципальных нужд»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18.09.2024 в адрес Курганского УФАС России поступила жалоба ООО «ЮЖНО</w:t>
        <w:softHyphen/>
        <w:t>УРАЛЬСКИЙ ЦЕНТР СНАБЖЕНИЯ» (вх. № 4058/24) на действия заказчика - ГБУ «Курганская БСМП» при осуществлении закупки путем проведения электронного аукциона на поставку медицинского оборудования (Монитор пациента многофункциональный) (извещение № 0343300002624000231).</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Жалоба Заявителя подана в надлежащий срок, а также соответствует требованиям, предусмотренным статьей 105 Закона о контрактной системе.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жалобе </w:t>
      </w:r>
      <w:r>
        <w:rPr>
          <w:b/>
          <w:bCs/>
          <w:color w:val="000000"/>
          <w:spacing w:val="0"/>
          <w:w w:val="100"/>
          <w:position w:val="0"/>
          <w:shd w:val="clear" w:color="auto" w:fill="auto"/>
          <w:lang w:val="ru-RU" w:eastAsia="ru-RU" w:bidi="ru-RU"/>
        </w:rPr>
        <w:t xml:space="preserve">Заявитель </w:t>
      </w:r>
      <w:r>
        <w:rPr>
          <w:color w:val="000000"/>
          <w:spacing w:val="0"/>
          <w:w w:val="100"/>
          <w:position w:val="0"/>
          <w:shd w:val="clear" w:color="auto" w:fill="auto"/>
          <w:lang w:val="ru-RU" w:eastAsia="ru-RU" w:bidi="ru-RU"/>
        </w:rPr>
        <w:t>указывает, что Заказчик при описании предмета закупки неверно применил Код позиции 26.60.12.129 26.60.12.129-00000057 «Монитор электрокардиограммы», а также прописал дополнительные технические характеристики, не предусмотренные КТРУ.</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ООО «ЮУРЦС» указывает в жалобе о том, что объектом закупки является поставка медицинского оборудования «Монитор пациента многофункциональный». Между тем, Заказчиком в Сведениях об объекте закупки установлены требования к техническим характеристикам поставляемых товаров, в том числе следующие: - ОКПД2-26.60.12.129 - Приборы и аппараты для функциональной диагностики прочие, применяемые в медицинских целях, не включенные в другие группировки.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Товар «Монитор у постели больного многопараметрический общего назначения», относящийся к коду ОКПД2 26.60.12.129, включен в Перечень, установленный в соответствии с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Правительства РФ № 878).</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Общество приходит к выводу о том, что описание объекта закупки со стороны Заказчика сформировано ненадлежащим образом, что приводит к нарушению Постановления Правительства РФ № 878, Постановление Правительства РФ от 28.08.2021 № 1432, пункта 1 части 1, части 2 статьи 33, пункт 1 части 2 статьи 42, части 6 статьи 23 Закона о контрактной системе.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 145 утверждены Правила использования каталога товаров, работ, услуг для обеспечения государственных и муниципальных нужд (далее - Правила № 145).</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1 Правил № 145, Правила устанавливают порядок использования каталога товаров, работ, услуг для обеспечения государственных и муниципальных нужд (КТРУ) участниками контрактной системы в сфере закупок в соответствии с Законом о контрактной системе.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подпунктом «б» пункта 2 Правил № 145,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мнению Заявителя, заявленному к поставке товару соответствует позиция КТРУ 26.60.12.119-00000944 - Монитор у постели больного многопараметрический общего назначения.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Позиция КТРУ 26.60.12.119-00000944 - Приборы и аппараты для функциональной диагностики прочие, применяемые в медицинских целях, не включенные в другие группировки, включен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РФ № 878.</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в нарушение указанных норм, при описании объекта закупки установлены характеристики товара, не указанные в КТРУ 26.60.12.119-00000944.</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просит признать жалобу обоснованной; признать нарушения Заказчиком Постановления Правительства РФ № 878; пункта 1 части 1, части 2 статьи 33, пункт 1 части 2 статьи 42, части 6 статьи 23 Закона о контрактной системе; приостановить определение поставщика до рассмотрения жалобы, по существу; обязать Заказчика сформировать описание объекта закупки в соответствии с КТРУ 26.60.12.119-00000944.</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частью 1 статьи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данной нормой права Курганским УФАС России у Заказчика были запрошены письменные пояснения с правовым и документальным обоснованием по доводам жалобы Заявителя.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Представитель Заказчика с доводом жалобы не согласился, считает жалобу необоснованной.</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Руководствуясь статьями 99, 106 Закона о контрактной системе, Комиссией Курганского УФАС России проведена внеплановая проверка, в результате которой установлено, </w:t>
      </w:r>
      <w:r>
        <w:rPr>
          <w:color w:val="000000"/>
          <w:spacing w:val="0"/>
          <w:w w:val="100"/>
          <w:position w:val="0"/>
          <w:shd w:val="clear" w:color="auto" w:fill="auto"/>
          <w:lang w:val="ru-RU" w:eastAsia="ru-RU" w:bidi="ru-RU"/>
        </w:rPr>
        <w:t>что 13.09.2024 на официальном сайте ЕИС в сети Интернет Заказчиком опубликовано извещение № 0343300002624000231 об осуществлении закупки путем проведения электронного аукциона на поставку медицинского оборудования (Монитор пациента многофункциональный).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составляет 3 840 000 руб.</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является: Государственное бюджетное учреждение «Курганская больница скорой медицинской помощи».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и время окончания срока подачи заявок: 24.09.2024 11:00 (МСК+2).</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- 25.09.2024.</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25.09.2024 в 15:29 (МСК+2) в извещении размещен Протокол подведения итогов электронного аукциона №0343300002624000231, согласно которому членами комиссии по </w:t>
      </w:r>
      <w:r>
        <w:rPr>
          <w:color w:val="000000"/>
          <w:spacing w:val="0"/>
          <w:w w:val="100"/>
          <w:position w:val="0"/>
          <w:shd w:val="clear" w:color="auto" w:fill="auto"/>
          <w:lang w:val="ru-RU" w:eastAsia="ru-RU" w:bidi="ru-RU"/>
        </w:rPr>
        <w:t>осуществлению закупок принято решение о соответствии требованиям, установленным извещением об осуществлении закупки, только одной заявки на участие в ней, на основании пункта 2 части 1 статьи 52 Закона о контрактной системе.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результатам подведения итогов определения поставщика (подрядчика, исполнителя) победителем электронного аукциона признан участник закупки с идентификационным номером № 1079883, по начальной (максимальной) цене контракта 3 840 000,00 руб.</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момент рассмотрения жалобы по существу контракт не заключен.</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Оценивая доводы Заявителя, изложенные в жалобе, а также документы, представленные Заказчиком и приобщенные к материалам дела по рассмотрению жалобы, Комиссия Курганского УФАС России приходит к следующим выводам.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Основной целью Закона о контрактной системе является удовлетворение потребностей заказчиков в товарах (работах, услугах), которые необходимы для осуществления ими своих функций, при соблюдении установленных этим законом ограничений.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Открытость и прозрачность информации, указанной в части 1 статьи, обеспечиваются, в частности, путем ее размещения в единой информационной системе.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Частью 1 статьи 24 Закона о контрактной системе, определено, что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w:t>
      </w:r>
      <w:r>
        <w:rPr>
          <w:color w:val="000000"/>
          <w:spacing w:val="0"/>
          <w:w w:val="100"/>
          <w:position w:val="0"/>
          <w:shd w:val="clear" w:color="auto" w:fill="auto"/>
          <w:lang w:val="ru-RU" w:eastAsia="ru-RU" w:bidi="ru-RU"/>
        </w:rPr>
        <w:t>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Конкурентными способами являются:</w:t>
      </w:r>
    </w:p>
    <w:p>
      <w:pPr>
        <w:pStyle w:val="Style14"/>
        <w:keepNext w:val="0"/>
        <w:keepLines w:val="0"/>
        <w:widowControl w:val="0"/>
        <w:numPr>
          <w:ilvl w:val="0"/>
          <w:numId w:val="1"/>
        </w:numPr>
        <w:shd w:val="clear" w:color="auto" w:fill="auto"/>
        <w:tabs>
          <w:tab w:pos="106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конкурсы открытый конкурс в электронной форме, закрытый конкурс, закрытый конкурс в электронной форме;</w:t>
      </w:r>
    </w:p>
    <w:p>
      <w:pPr>
        <w:pStyle w:val="Style14"/>
        <w:keepNext w:val="0"/>
        <w:keepLines w:val="0"/>
        <w:widowControl w:val="0"/>
        <w:numPr>
          <w:ilvl w:val="0"/>
          <w:numId w:val="1"/>
        </w:numPr>
        <w:shd w:val="clear" w:color="auto" w:fill="auto"/>
        <w:tabs>
          <w:tab w:pos="106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аукционы открытый аукцион в электронной форме, закрытый аукцион, закрытый аукцион в электронной форме;</w:t>
      </w:r>
    </w:p>
    <w:p>
      <w:pPr>
        <w:pStyle w:val="Style14"/>
        <w:keepNext w:val="0"/>
        <w:keepLines w:val="0"/>
        <w:widowControl w:val="0"/>
        <w:numPr>
          <w:ilvl w:val="0"/>
          <w:numId w:val="1"/>
        </w:numPr>
        <w:shd w:val="clear" w:color="auto" w:fill="auto"/>
        <w:tabs>
          <w:tab w:pos="106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запрос котировок в электронной форме (часть 2 статьи 24 Закона о контрактной системе).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части 1 статьи 49 Закона о контрактной системе указано, что электронный аукцион начинается с размещения в единой информационной системе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пункта 1 части 2 статьи 42 Закона о контрактной системе, извещение об осуществлении закупки должно содержать в том числе описание объекта закупки в соответствии со статьей 33 Закона о контрактной системе.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1 части 1 статьи 33 Закона о контрактной системе установлено, что Заказчик в случаях, предусмотренных Законом, при описании объекта закупки должен руководствоваться следующими правилами: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4"/>
        <w:keepNext w:val="0"/>
        <w:keepLines w:val="0"/>
        <w:widowControl w:val="0"/>
        <w:numPr>
          <w:ilvl w:val="0"/>
          <w:numId w:val="3"/>
        </w:numPr>
        <w:shd w:val="clear" w:color="auto" w:fill="auto"/>
        <w:tabs>
          <w:tab w:pos="108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4"/>
        <w:keepNext w:val="0"/>
        <w:keepLines w:val="0"/>
        <w:widowControl w:val="0"/>
        <w:numPr>
          <w:ilvl w:val="0"/>
          <w:numId w:val="3"/>
        </w:numPr>
        <w:shd w:val="clear" w:color="auto" w:fill="auto"/>
        <w:tabs>
          <w:tab w:pos="107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4"/>
        <w:keepNext w:val="0"/>
        <w:keepLines w:val="0"/>
        <w:widowControl w:val="0"/>
        <w:numPr>
          <w:ilvl w:val="0"/>
          <w:numId w:val="3"/>
        </w:numPr>
        <w:shd w:val="clear" w:color="auto" w:fill="auto"/>
        <w:tabs>
          <w:tab w:pos="106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numPr>
          <w:ilvl w:val="0"/>
          <w:numId w:val="3"/>
        </w:numPr>
        <w:shd w:val="clear" w:color="auto" w:fill="auto"/>
        <w:tabs>
          <w:tab w:pos="104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этой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Учитывая изложенное, Заказчики вправе самостоятельно принимать решение о способе закупке, с предоставленным правом формирования объекта, определять содержание предмета контракта, предъявлять к нему требования в соответствии с собственными потребностями с учетом ограничений, установленных статьей 33 Закона о контрактной системе.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частью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Комиссией контрольного органа в сфере закупок установлено, что Заказчиком при описании объекта закупки применен код КТРУ 26.60.12.129-00000057 - Монитор электрокардиограммы, также применены дополнительные характеристики оборудования.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Правилами № 145, согласно которым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пункте 4 Правил № 145 установлено, что Заказчики обязаны применять информацию, включенную в позицию каталога с указанной в ней даты начала обязательного применения.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7 Правил № 145,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При проведении предусмотренных Законом электронных процедур, закрытых электронных процедур характеристики объекта закупки, предусмотренные пунктом 1 части 1 статьи 33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соответственно.</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следует из пояснений представителя Заказчика, согласно описанию объекта закупки, Заказчику к поставке в Государственное бюджетное учреждение «Курганская больница скорой медицинской помощи» требуется медицинское оборудование, отнесенное Заказчиком к коду КТРУ 26.60.12.129-00000057 - Монитор электрокардиограммы.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мнению Заявителя, Заказчику надлежало использовать при описании объекта закупки позицию КТРУ 26.60.12.119-00000944 - Монитор у постели больного многопараметрический общего назначения.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Между тем, при подготовке описания объекта закупки Заказчиком были проанализированы все включенные в КТРУ коды с похожим набором параметров, в том числе, упомянутый Заявителем 26.60.12.119-00000944, и сделан вывод о несоответствии указанных позиций потребностям Заказчика.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указывает Заказчик с своих письменных пояснениях, позиция КТРУ 26.60.12.119-00000944, является конкретизированной позицией КТРУ. Данная позиция не детализирует снимаемые показатели, в том числе измерение электрокардиограммы пациента (ЭКГ) через отведения и датчики, прикрепленные к пациенту.</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показатели «ЭКГ», «ЧСС» могут быть определены для разных групп пациентов: взрослые, дети или новорожденные. Также в позиции КТРУ 26.60.12.119</w:t>
        <w:softHyphen/>
        <w:t>00000944 не конкретизируются такие параметры, как неспецифические 8Т-Т изменения, определение кардиостимулятора, определение аритмий; не предусмотрены специальные программы для кардиологии, позволяющие избегать ошибок в измерении сердцебиения и следить за состоянием пациента во время операции и нахождения в палате.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Указанная позиция не содержит показателей, имеющих важное диагностическое значение, прежде всего для пациентов кардиологического профиля - детекция летальных аритмий: асистолии, брадикардии, тахикардии, фибрилляции желудочков и желудочковой тахикардии, а также расширенный анализ аритмий - суправентрикулярные, вентрикулярные. Быстрое определение из большого количества существующих аритмий аритмии верного типа имеет важное прогностическое значение в тактике лечения пациентов.</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Предлагаемый заявителем КТРУ не детализирует сопутствующие измерения к ЭКГ, такие как частота дыхания, анализ сегмента 8Т, частота пульса, насыщение крови кислородом (8рО2), температура, аритмия, неинвазивное артериальное давление, частота сердечных сокращений, тогда как конкретизация указанных параметров имеет существенное значение.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Крайне значимым для Заказчика является наличие такого параметра оборудования, как сигнал тревоги при апноэ, не предусмотренного кодом КТРУ 26.60.12.119-00000944. Данный параметр позволяет определить нарушение ритма дыхания, а именно временную остановку дыхания при снижении концентрации кислорода в крови, повышении концентрации углекислого газа и закислении крови происходит возбуждение рецепторов, активизирующих дыхательный центр. В свою очередь, увеличение частоты и глубины дыхания компенсирует изменения газового и кислотно-щелочного состава крови. Также данный показатель определяет нарушения работы дыхательного центра в результате структурных изменений в соответствующей области мозга при инсультах, отеке головного мозга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в позиции КТРУ 26.60.12.119-00000944 отсутствует конкретизация по диагонали дисплея - дисплей с небольшой диагональю будет не информативен. Не предусмотрены необходимые в современной диагностике программы, такие как: программа расчета гемодинамических показателей, программа расчета доз препаратов и таблицы титрования и тд.</w:t>
      </w:r>
    </w:p>
    <w:p>
      <w:pPr>
        <w:pStyle w:val="Style14"/>
        <w:keepNext w:val="0"/>
        <w:keepLines w:val="0"/>
        <w:widowControl w:val="0"/>
        <w:shd w:val="clear" w:color="auto" w:fill="auto"/>
        <w:bidi w:val="0"/>
        <w:spacing w:before="0" w:after="0" w:line="240" w:lineRule="auto"/>
        <w:ind w:left="0" w:right="0" w:firstLine="740"/>
        <w:jc w:val="both"/>
        <w:sectPr>
          <w:footnotePr>
            <w:pos w:val="pageBottom"/>
            <w:numFmt w:val="decimal"/>
            <w:numRestart w:val="continuous"/>
          </w:footnotePr>
          <w:type w:val="continuous"/>
          <w:pgSz w:w="11900" w:h="16840"/>
          <w:pgMar w:top="1044" w:right="542" w:bottom="1177" w:left="1100" w:header="0" w:footer="3" w:gutter="0"/>
          <w:cols w:space="720"/>
          <w:noEndnote/>
          <w:rtlGutter w:val="0"/>
          <w:docGrid w:linePitch="360"/>
        </w:sectPr>
      </w:pPr>
      <w:r>
        <w:rPr>
          <w:color w:val="000000"/>
          <w:spacing w:val="0"/>
          <w:w w:val="100"/>
          <w:position w:val="0"/>
          <w:shd w:val="clear" w:color="auto" w:fill="auto"/>
          <w:lang w:val="ru-RU" w:eastAsia="ru-RU" w:bidi="ru-RU"/>
        </w:rPr>
        <w:t>Заказчик обращает внимание на то, что необходимо учесть, что мониторы, являющиеся объектом закупки, планируются к использованию в отделении нейрореанимации, где основной категорией пациентов являются больные с острыми нарушениями мозгового кровообращения (инсульты, в частности ишемические, геморрагические инфаркты и прочие). В указанных условиях необходимо непрерывное наблюдение ЭКГ и других физиологических параметров пациентов, в том числе артериального давления, сатурации крови кислородом, температуры.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связи со спецификой применения закупаемого оборудования, помимо детализированных параметров ЭКГ, не менее важным являются требования к оповещению медицинского персонала о превышении допустимых параметров (сигналах тревог). В выбранном Заказчиком КТРУ 26.60.12.129-00000057, в описании по классификатору определено: «Работающее от сети (сети переменного тока) прикроватное устройство, разработанное для непрерывного измерения и отображения электрокардиограммы пациента (ЭКГ) через отведения и датчики, прикрепленные к пациенту; обычно также отображает частоту сердечных сокращений. Устройство обычно оснащено звуковыми и/или визуальными сигналами тревоги, которые срабатывают, когда физиологические параметры пациента снижаются или превышают установленные пределы». Между тем, вышеуказанные необходимые Заказчику требования, в том числе использование в отделении реанимации, которое работает с острыми состояниями, отсутствуют в позиции КТРУ 26.60.12.119-00000944. Так, в описании по классификатору данной позиции указано: «Устройство/комплекс устройств с электропитанием, предназначенный для непрерывной оценки нескольких жизненно важных физиологических параметров (например, ЭКГ, артериального давления, частоты сердечных сокращений, температуры, сердечного выброса, апноэ, концентрации дыхательных/анестезиологических газов) одного пациента в отделениях интенсивной или общей терапии. Обычно он устанавливается у постели пациента и часто включает в себя программируемые устройства сигнализации, портативные радиопередатчики, приемники и антенны (для телеметрических систем) для осуществления мониторинга во время передвижения пациента или его транспортировки; система не предназначена для новорожденных пациентов».</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отмечает Заказчик, примененный им код КТРУ 26.60.12.129-00000057 является действующим и относится к коду ОКПД2 26.60.12.129 «Приборы и аппараты для функциональной диагностики прочие, применяемые в медицинских целях, не включенные в другие группировки». Заказчиком был проведен анализ закупок аналогичного оборудования (мониторов), который показал, что при их осуществлении заказчиками также применялась позиция КТРУ 26.60.12.129-00000057.</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при осуществлении описания закупки Заказчиком верно применена позиция КТРУ 26.60.12.129-00000057, отнесенная к коду ОКПД2 26.60.12.129 «Приборы и аппараты для функциональной диагностики прочие, применяемые в медицинских целях, не включенные в другие группировки».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 осуществил описание товара (медицинского оборудования) в соответствии с требованиями статьи 33 Закона о контрактной системе, так как в примененном Заказчиком КТРУ вкладка «Описание товара, работы, услуги» с характеристиками не заполнена.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в связи с отсутствием в каталоге описания характеристик товара, работы, услуги по установленному в документации коду КТРУ, как считает Заказчик им правомерно применен пункт 7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(Аналогичная правовая позиция отражена в Решении Вологодского УФАС от 24.01.2020 № ^ 035/06/64-56/2020, Решении Владимирского УФАС от 10.03.2023 ^ 033/06/23-121/2023).</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Заказчик обращает внимание на то, что характеристики оборудования, установленные в описании объекта закупки, имеют для него критически важную клиническую значимость и являются обоснованными в контексте врачебной практики.</w:t>
      </w:r>
    </w:p>
    <w:p>
      <w:pPr>
        <w:pStyle w:val="Style14"/>
        <w:keepNext w:val="0"/>
        <w:keepLines w:val="0"/>
        <w:widowControl w:val="0"/>
        <w:shd w:val="clear" w:color="auto" w:fill="auto"/>
        <w:bidi w:val="0"/>
        <w:spacing w:before="0" w:after="0" w:line="329" w:lineRule="auto"/>
        <w:ind w:left="0" w:right="0" w:firstLine="740"/>
        <w:jc w:val="both"/>
        <w:rPr>
          <w:sz w:val="24"/>
          <w:szCs w:val="24"/>
        </w:rPr>
        <w:sectPr>
          <w:footerReference w:type="default" r:id="rId7"/>
          <w:footnotePr>
            <w:pos w:val="pageBottom"/>
            <w:numFmt w:val="decimal"/>
            <w:numRestart w:val="continuous"/>
          </w:footnotePr>
          <w:pgSz w:w="11900" w:h="16840"/>
          <w:pgMar w:top="1110" w:right="545" w:bottom="536" w:left="1101" w:header="682" w:footer="108"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В ходе рассмотрения жалобы ООО «ЮУЦС», Комиссией контрольного органа в сфере закупок проанализирована позиция КТРУ 26.60.12.119-00000944, в результате </w:t>
      </w:r>
      <w:r>
        <w:rPr>
          <w:color w:val="000000"/>
          <w:spacing w:val="0"/>
          <w:w w:val="100"/>
          <w:position w:val="0"/>
          <w:sz w:val="24"/>
          <w:szCs w:val="24"/>
          <w:shd w:val="clear" w:color="auto" w:fill="auto"/>
          <w:lang w:val="ru-RU" w:eastAsia="ru-RU" w:bidi="ru-RU"/>
        </w:rPr>
        <w:t>2024-3352</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установлено, что в соответствии с Общероссийским классификатором продукции по видам экономической деятельности (ОКПД2) она имеет код 26.60.12.129: Приборы и аппараты для функциональной диагностики прочие, применяемые в медицинских целях, не включенные в другие группировки, 26.60.12.119: Аппараты электродиагностические прочие.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Номенклатурной классификацией медицинских изделий по видам относится к кодам: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274570: Система мониторинга нескольких жизненно важных физиологических показателей, клиническая. Комплект устройств с электрическим приводом, предназначенный для использования профессиональным медицинским работником в клинических условиях для периодической или непрерывной оценки нескольких жизненно важных физиологических параметров [например, электрокардиограммы (ЭКГ), неинвазивного артериального давления (Н1ВР), частоты пульса, температуры, насыщения гемоглобина кислородом (ЗрО2)]. Включает в себя как датчики физиологических параметров, зонды и/или электроды (например, электроды ЭКГ, манжету для измерения артериального давления), так и аппаратные средства обработки данных со специальным программным обеспечением. Как правило, устройство включает в себя экран для мониторинга, но может вместо этого подключаться к другому стандартному устройству для отображения данных; система не предназначена для ношения на теле.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190850: Монитор у постели больного многопараметрический общего назначения. Устройство/комплекс устройств с электропитанием, предназначенный для непрерывной оценки нескольких жизненно важных физиологических параметров (например, ЭКГ, артериального давления, частоты сердечных сокращений, температуры, сердечного выброса, апноэ, концентрации дыхательных/анестезиологических газов) одного пациента в отделениях интенсивной или общей терапии. Обычно он устанавливается у постели пациента и часто включает в себя программируемые устройства сигнализации, портативные радиопередатчики, приемники и антенны (для телеметрических систем) для осуществления мониторинга во время передвижения пациента или его транспортировки; система не предназначена для новорожденных пациентов.</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Заслушав пояснения представителей сторон, изучив содержание извещения рассматриваемой закупки, проанализировав содержание позиций КТРУ в аналитическом сравнении, Комиссия Курганского УФАС России приходит к выводу, что указанная Заявителем позиция КТРУ не отвечает потребностям Заказчика, приобретающего медицинское оборудование для оснащения ГБУ «Курганская больница скорой медицинской помощи», а именно: по позиции КТРУ 26.60.12.119-00000944 отсутствуют такие значимые характеристики медицинского оборудования как цветной дисплей (диагональю &gt; 12), расчет показателей вентиляции , порт для подключения дополнительного дисплея, а также количество разъёмов РЗВ (пункт 4, пункт 7 сравнительно-аналитической таблицы Заказчика).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Заказчиком при описании объекта закупки соблюдены положения статьи 33 Закона о контрактной системе, где под описание подпадают как минимум 2 производителя. Участниками данной электронной процедуры также предоставлены товары производителя ООО «Диксион», Россия и «ДжиИ Медикал Системз Информейшн Технолоджис Инк», США.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Относительно утверждения ООО «ЮУЦС», что не применив позицию КТРУ 26.60.12.119-00000944, Заказчик обошел ограничения, установленные Постановлением Правительства РФ № 878, Комиссия отмечает, что в извещении № 0343300002624000231 установлено ограничение допуска в соответствии с Постановлением Правительства РФ №</w:t>
        <w:br w:type="page"/>
      </w:r>
      <w:r>
        <w:rPr>
          <w:color w:val="000000"/>
          <w:spacing w:val="0"/>
          <w:w w:val="100"/>
          <w:position w:val="0"/>
          <w:shd w:val="clear" w:color="auto" w:fill="auto"/>
          <w:lang w:val="ru-RU" w:eastAsia="ru-RU" w:bidi="ru-RU"/>
        </w:rPr>
        <w:t>878, а условие допуска установлено в соответствии с приказом Министерства финансов Российской Федерации от 04.06.2018 № 126н (Приложение № 2).</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изложенного, жалоба Заявителя признана Комиссией Курганского УФАС России необоснованной.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изложенного, доводы жалобы Заявителя признаны Комиссией Курганского УФАС России несостоятельными.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ходе рассмотрения жалобы ООО «ЮУРЦС», проведения внеплановой проверки Комиссией Курганского УФАС России в действиях субъектов контроля нарушений требований законодательства о контрактной системе не установлено.</w:t>
      </w:r>
    </w:p>
    <w:p>
      <w:pPr>
        <w:pStyle w:val="Style14"/>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руководствуясь статьями 99, 105, 106 Федерального закона от 05.04.2013 № 44-ФЗ «О контрактной системе в сфере закупок товаров, работ, услуг для обеспечения государственных и муниципальных нужд», Правилами осуществления контроля в сфере закупок,</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4"/>
        <w:keepNext w:val="0"/>
        <w:keepLines w:val="0"/>
        <w:widowControl w:val="0"/>
        <w:shd w:val="clear" w:color="auto" w:fill="auto"/>
        <w:bidi w:val="0"/>
        <w:spacing w:before="0" w:after="260" w:line="240" w:lineRule="auto"/>
        <w:ind w:left="0" w:right="0" w:firstLine="1180"/>
        <w:jc w:val="both"/>
      </w:pPr>
      <w:r>
        <w:rPr>
          <w:color w:val="000000"/>
          <w:spacing w:val="0"/>
          <w:w w:val="100"/>
          <w:position w:val="0"/>
          <w:shd w:val="clear" w:color="auto" w:fill="auto"/>
          <w:lang w:val="ru-RU" w:eastAsia="ru-RU" w:bidi="ru-RU"/>
        </w:rPr>
        <w:t>Признать жалобу Общества с ограниченной ответственностью «ЮЖНО</w:t>
        <w:softHyphen/>
        <w:t>УРАЛЬСКИЙ ЦЕНТР СНАБЖЕНИЯ» необоснованной.</w:t>
      </w:r>
    </w:p>
    <w:p>
      <w:pPr>
        <w:pStyle w:val="Style14"/>
        <w:keepNext w:val="0"/>
        <w:keepLines w:val="0"/>
        <w:widowControl w:val="0"/>
        <w:shd w:val="clear" w:color="auto" w:fill="auto"/>
        <w:bidi w:val="0"/>
        <w:spacing w:before="0" w:after="0" w:line="240" w:lineRule="auto"/>
        <w:ind w:left="0" w:right="0" w:firstLine="880"/>
        <w:jc w:val="both"/>
      </w:pPr>
      <w:r>
        <w:rPr>
          <w:i/>
          <w:iCs/>
          <w:color w:val="000000"/>
          <w:spacing w:val="0"/>
          <w:w w:val="100"/>
          <w:position w:val="0"/>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pPr>
        <w:widowControl w:val="0"/>
        <w:spacing w:line="1" w:lineRule="exact"/>
        <w:sectPr>
          <w:footerReference w:type="default" r:id="rId8"/>
          <w:footnotePr>
            <w:pos w:val="pageBottom"/>
            <w:numFmt w:val="decimal"/>
            <w:numRestart w:val="continuous"/>
          </w:footnotePr>
          <w:pgSz w:w="11900" w:h="16840"/>
          <w:pgMar w:top="1082" w:right="537" w:bottom="1139" w:left="1095" w:header="654" w:footer="3" w:gutter="0"/>
          <w:cols w:space="720"/>
          <w:noEndnote/>
          <w:rtlGutter w:val="0"/>
          <w:docGrid w:linePitch="360"/>
        </w:sectPr>
      </w:pPr>
      <w:r>
        <mc:AlternateContent>
          <mc:Choice Requires="wps">
            <w:drawing>
              <wp:anchor distT="711200" distB="210185" distL="0" distR="0" simplePos="0" relativeHeight="125829378" behindDoc="0" locked="0" layoutInCell="1" allowOverlap="1">
                <wp:simplePos x="0" y="0"/>
                <wp:positionH relativeFrom="page">
                  <wp:posOffset>735330</wp:posOffset>
                </wp:positionH>
                <wp:positionV relativeFrom="paragraph">
                  <wp:posOffset>711200</wp:posOffset>
                </wp:positionV>
                <wp:extent cx="1828800" cy="247015"/>
                <wp:wrapTopAndBottom/>
                <wp:docPr id="7" name="Shape 7"/>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899999999999999pt;margin-top:56.pt;width:144.pt;height:19.449999999999999pt;z-index:-125829375;mso-wrap-distance-left:0;mso-wrap-distance-top:56.pt;mso-wrap-distance-right:0;mso-wrap-distance-bottom:16.5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784225" distB="21590" distL="0" distR="1804670" simplePos="0" relativeHeight="125829380" behindDoc="0" locked="0" layoutInCell="1" allowOverlap="1">
            <wp:simplePos x="0" y="0"/>
            <wp:positionH relativeFrom="page">
              <wp:posOffset>2759075</wp:posOffset>
            </wp:positionH>
            <wp:positionV relativeFrom="paragraph">
              <wp:posOffset>784225</wp:posOffset>
            </wp:positionV>
            <wp:extent cx="311150" cy="36576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3152140</wp:posOffset>
                </wp:positionH>
                <wp:positionV relativeFrom="paragraph">
                  <wp:posOffset>857250</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48.20000000000002pt;margin-top:67.5pt;width:135.59999999999999pt;height:20.15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961390" distB="0" distL="0" distR="0" simplePos="0" relativeHeight="125829381" behindDoc="0" locked="0" layoutInCell="1" allowOverlap="1">
                <wp:simplePos x="0" y="0"/>
                <wp:positionH relativeFrom="page">
                  <wp:posOffset>6142355</wp:posOffset>
                </wp:positionH>
                <wp:positionV relativeFrom="paragraph">
                  <wp:posOffset>961390</wp:posOffset>
                </wp:positionV>
                <wp:extent cx="1048385" cy="207010"/>
                <wp:wrapTopAndBottom/>
                <wp:docPr id="13" name="Shape 13"/>
                <a:graphic xmlns:a="http://schemas.openxmlformats.org/drawingml/2006/main">
                  <a:graphicData uri="http://schemas.microsoft.com/office/word/2010/wordprocessingShape">
                    <wps:wsp>
                      <wps:cNvSpPr txBox="1"/>
                      <wps:spPr>
                        <a:xfrm>
                          <a:ext cx="1048385" cy="2070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А.В. Иванова</w:t>
                            </w:r>
                          </w:p>
                        </w:txbxContent>
                      </wps:txbx>
                      <wps:bodyPr wrap="none" lIns="0" tIns="0" rIns="0" bIns="0">
                        <a:noAutoFit/>
                      </wps:bodyPr>
                    </wps:wsp>
                  </a:graphicData>
                </a:graphic>
              </wp:anchor>
            </w:drawing>
          </mc:Choice>
          <mc:Fallback>
            <w:pict>
              <v:shape id="_x0000_s1039" type="#_x0000_t202" style="position:absolute;margin-left:483.65000000000003pt;margin-top:75.700000000000003pt;width:82.549999999999997pt;height:16.300000000000001pt;z-index:-125829372;mso-wrap-distance-left:0;mso-wrap-distance-top:75.700000000000003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А.В. Иванова</w:t>
                      </w:r>
                    </w:p>
                  </w:txbxContent>
                </v:textbox>
                <w10:wrap type="topAndBottom" anchorx="page"/>
              </v:shape>
            </w:pict>
          </mc:Fallback>
        </mc:AlternateConten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646464"/>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Иванова Алла Викторовна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48ЕВ8СЕЕО9РОЕ72В4057АОСЗВ540О324</w:t>
      </w:r>
    </w:p>
    <w:p>
      <w:pPr>
        <w:pStyle w:val="Style29"/>
        <w:keepNext w:val="0"/>
        <w:keepLines w:val="0"/>
        <w:widowControl w:val="0"/>
        <w:shd w:val="clear" w:color="auto" w:fill="auto"/>
        <w:bidi w:val="0"/>
        <w:spacing w:before="0" w:after="0" w:line="240" w:lineRule="auto"/>
        <w:ind w:right="0" w:firstLine="0"/>
        <w:jc w:val="left"/>
      </w:pPr>
      <w:r>
        <w:rPr>
          <w:color w:val="646464"/>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19.08.2024 </w:t>
      </w:r>
      <w:r>
        <w:rPr>
          <w:color w:val="838383"/>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12.11.2025</w:t>
      </w:r>
    </w:p>
    <w:p>
      <w:pPr>
        <w:widowControl w:val="0"/>
        <w:spacing w:line="1" w:lineRule="exact"/>
        <w:sectPr>
          <w:footnotePr>
            <w:pos w:val="pageBottom"/>
            <w:numFmt w:val="decimal"/>
            <w:numRestart w:val="continuous"/>
          </w:footnotePr>
          <w:type w:val="continuous"/>
          <w:pgSz w:w="11900" w:h="16840"/>
          <w:pgMar w:top="1110" w:right="537" w:bottom="2868" w:left="1097" w:header="0" w:footer="3" w:gutter="0"/>
          <w:cols w:space="720"/>
          <w:noEndnote/>
          <w:rtlGutter w:val="0"/>
          <w:docGrid w:linePitch="360"/>
        </w:sectPr>
      </w:pPr>
      <w:r>
        <mc:AlternateContent>
          <mc:Choice Requires="wps">
            <w:drawing>
              <wp:anchor distT="114300" distB="384175" distL="0" distR="0" simplePos="0" relativeHeight="125829383" behindDoc="0" locked="0" layoutInCell="1" allowOverlap="1">
                <wp:simplePos x="0" y="0"/>
                <wp:positionH relativeFrom="page">
                  <wp:posOffset>735330</wp:posOffset>
                </wp:positionH>
                <wp:positionV relativeFrom="paragraph">
                  <wp:posOffset>114300</wp:posOffset>
                </wp:positionV>
                <wp:extent cx="1341120" cy="252730"/>
                <wp:wrapTopAndBottom/>
                <wp:docPr id="15" name="Shape 15"/>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1" type="#_x0000_t202" style="position:absolute;margin-left:57.899999999999999pt;margin-top:9.pt;width:105.60000000000001pt;height:19.900000000000002pt;z-index:-125829370;mso-wrap-distance-left:0;mso-wrap-distance-top:9.pt;mso-wrap-distance-right:0;mso-wrap-distance-bottom:30.2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xbxContent>
                </v:textbox>
                <w10:wrap type="topAndBottom" anchorx="page"/>
              </v:shape>
            </w:pict>
          </mc:Fallback>
        </mc:AlternateContent>
      </w:r>
      <w:r>
        <w:drawing>
          <wp:anchor distT="220980" distB="0" distL="0" distR="1764665" simplePos="0" relativeHeight="125829385" behindDoc="0" locked="0" layoutInCell="1" allowOverlap="1">
            <wp:simplePos x="0" y="0"/>
            <wp:positionH relativeFrom="page">
              <wp:posOffset>2673985</wp:posOffset>
            </wp:positionH>
            <wp:positionV relativeFrom="paragraph">
              <wp:posOffset>220980</wp:posOffset>
            </wp:positionV>
            <wp:extent cx="347345" cy="53022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47345" cy="53022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3124835</wp:posOffset>
                </wp:positionH>
                <wp:positionV relativeFrom="paragraph">
                  <wp:posOffset>617220</wp:posOffset>
                </wp:positionV>
                <wp:extent cx="1264920" cy="103505"/>
                <wp:wrapNone/>
                <wp:docPr id="19" name="Shape 19"/>
                <a:graphic xmlns:a="http://schemas.openxmlformats.org/drawingml/2006/main">
                  <a:graphicData uri="http://schemas.microsoft.com/office/word/2010/wordprocessingShape">
                    <wps:wsp>
                      <wps:cNvSpPr txBox="1"/>
                      <wps:spPr>
                        <a:xfrm>
                          <a:ext cx="126492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 xml:space="preserve">СВЕДЕНИЯ О СЕРТИФИКАТЕ </w:t>
                            </w:r>
                            <w:r>
                              <w:rPr>
                                <w:color w:val="FFFFFF"/>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45" type="#_x0000_t202" style="position:absolute;margin-left:246.05000000000001pt;margin-top:48.600000000000001pt;width:99.600000000000009pt;height:8.1500000000000004pt;z-index:251657731;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 xml:space="preserve">СВЕДЕНИЯ О СЕРТИФИКАТЕ </w:t>
                      </w:r>
                      <w:r>
                        <w:rPr>
                          <w:color w:val="FFFFFF"/>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3082290</wp:posOffset>
                </wp:positionH>
                <wp:positionV relativeFrom="paragraph">
                  <wp:posOffset>309245</wp:posOffset>
                </wp:positionV>
                <wp:extent cx="1700530" cy="255905"/>
                <wp:wrapNone/>
                <wp:docPr id="21" name="Shape 21"/>
                <a:graphic xmlns:a="http://schemas.openxmlformats.org/drawingml/2006/main">
                  <a:graphicData uri="http://schemas.microsoft.com/office/word/2010/wordprocessingShape">
                    <wps:wsp>
                      <wps:cNvSpPr txBox="1"/>
                      <wps:spPr>
                        <a:xfrm>
                          <a:ext cx="1700530"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70000000000002pt;margin-top:24.350000000000001pt;width:133.90000000000001pt;height:20.150000000000002pt;z-index:251657733;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88620" distB="109855" distL="0" distR="0" simplePos="0" relativeHeight="125829386" behindDoc="0" locked="0" layoutInCell="1" allowOverlap="1">
                <wp:simplePos x="0" y="0"/>
                <wp:positionH relativeFrom="page">
                  <wp:posOffset>6184900</wp:posOffset>
                </wp:positionH>
                <wp:positionV relativeFrom="paragraph">
                  <wp:posOffset>388620</wp:posOffset>
                </wp:positionV>
                <wp:extent cx="1005840" cy="252730"/>
                <wp:wrapTopAndBottom/>
                <wp:docPr id="23" name="Shape 23"/>
                <a:graphic xmlns:a="http://schemas.openxmlformats.org/drawingml/2006/main">
                  <a:graphicData uri="http://schemas.microsoft.com/office/word/2010/wordprocessingShape">
                    <wps:wsp>
                      <wps:cNvSpPr txBox="1"/>
                      <wps:spPr>
                        <a:xfrm>
                          <a:ext cx="100584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М.С. Дудина</w:t>
                            </w:r>
                          </w:p>
                        </w:txbxContent>
                      </wps:txbx>
                      <wps:bodyPr wrap="none" lIns="0" tIns="0" rIns="0" bIns="0">
                        <a:noAutoFit/>
                      </wps:bodyPr>
                    </wps:wsp>
                  </a:graphicData>
                </a:graphic>
              </wp:anchor>
            </w:drawing>
          </mc:Choice>
          <mc:Fallback>
            <w:pict>
              <v:shape id="_x0000_s1049" type="#_x0000_t202" style="position:absolute;margin-left:487.pt;margin-top:30.600000000000001pt;width:79.200000000000003pt;height:19.900000000000002pt;z-index:-125829367;mso-wrap-distance-left:0;mso-wrap-distance-top:30.600000000000001pt;mso-wrap-distance-right:0;mso-wrap-distance-bottom:8.6500000000000004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М.С. Дудина</w:t>
                      </w:r>
                    </w:p>
                  </w:txbxContent>
                </v:textbox>
                <w10:wrap type="topAndBottom" anchorx="page"/>
              </v:shape>
            </w:pict>
          </mc:Fallback>
        </mc:AlternateContent>
      </w:r>
    </w:p>
    <w:p>
      <w:pPr>
        <w:widowControl w:val="0"/>
        <w:spacing w:line="1" w:lineRule="exact"/>
      </w:pPr>
      <w:r>
        <w:drawing>
          <wp:anchor distT="0" distB="0" distL="114300" distR="1854835" simplePos="0" relativeHeight="125829388" behindDoc="0" locked="0" layoutInCell="1" allowOverlap="1">
            <wp:simplePos x="0" y="0"/>
            <wp:positionH relativeFrom="page">
              <wp:posOffset>2743835</wp:posOffset>
            </wp:positionH>
            <wp:positionV relativeFrom="paragraph">
              <wp:posOffset>460375</wp:posOffset>
            </wp:positionV>
            <wp:extent cx="341630" cy="52451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41630" cy="5245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3188970</wp:posOffset>
                </wp:positionH>
                <wp:positionV relativeFrom="paragraph">
                  <wp:posOffset>850265</wp:posOffset>
                </wp:positionV>
                <wp:extent cx="1246505" cy="100330"/>
                <wp:wrapNone/>
                <wp:docPr id="27" name="Shape 27"/>
                <a:graphic xmlns:a="http://schemas.openxmlformats.org/drawingml/2006/main">
                  <a:graphicData uri="http://schemas.microsoft.com/office/word/2010/wordprocessingShape">
                    <wps:wsp>
                      <wps:cNvSpPr txBox="1"/>
                      <wps:spPr>
                        <a:xfrm>
                          <a:ext cx="1246505"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 xml:space="preserve">СВЕДЕНИЯ О </w:t>
                            </w:r>
                            <w:r>
                              <w:rPr>
                                <w:color w:val="FFFFFF"/>
                                <w:spacing w:val="0"/>
                                <w:w w:val="100"/>
                                <w:position w:val="0"/>
                                <w:sz w:val="12"/>
                                <w:szCs w:val="12"/>
                                <w:shd w:val="clear" w:color="auto" w:fill="auto"/>
                                <w:lang w:val="ru-RU" w:eastAsia="ru-RU" w:bidi="ru-RU"/>
                              </w:rPr>
                              <w:t xml:space="preserve">СЕРТИФИКАТЕ </w:t>
                            </w:r>
                            <w:r>
                              <w:rPr>
                                <w:color w:val="E6E6E6"/>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53" type="#_x0000_t202" style="position:absolute;margin-left:251.09999999999999pt;margin-top:66.950000000000003pt;width:98.150000000000006pt;height:7.9000000000000004pt;z-index:251657735;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 xml:space="preserve">СВЕДЕНИЯ О </w:t>
                      </w:r>
                      <w:r>
                        <w:rPr>
                          <w:color w:val="FFFFFF"/>
                          <w:spacing w:val="0"/>
                          <w:w w:val="100"/>
                          <w:position w:val="0"/>
                          <w:sz w:val="12"/>
                          <w:szCs w:val="12"/>
                          <w:shd w:val="clear" w:color="auto" w:fill="auto"/>
                          <w:lang w:val="ru-RU" w:eastAsia="ru-RU" w:bidi="ru-RU"/>
                        </w:rPr>
                        <w:t xml:space="preserve">СЕРТИФИКАТЕ </w:t>
                      </w:r>
                      <w:r>
                        <w:rPr>
                          <w:color w:val="E6E6E6"/>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3146425</wp:posOffset>
                </wp:positionH>
                <wp:positionV relativeFrom="paragraph">
                  <wp:posOffset>545465</wp:posOffset>
                </wp:positionV>
                <wp:extent cx="1679575" cy="250190"/>
                <wp:wrapNone/>
                <wp:docPr id="29" name="Shape 29"/>
                <a:graphic xmlns:a="http://schemas.openxmlformats.org/drawingml/2006/main">
                  <a:graphicData uri="http://schemas.microsoft.com/office/word/2010/wordprocessingShape">
                    <wps:wsp>
                      <wps:cNvSpPr txBox="1"/>
                      <wps:spPr>
                        <a:xfrm>
                          <a:ext cx="1679575" cy="250190"/>
                        </a:xfrm>
                        <a:prstGeom prst="rect"/>
                        <a:noFill/>
                      </wps:spPr>
                      <wps:txbx>
                        <w:txbxContent>
                          <w:p>
                            <w:pPr>
                              <w:pStyle w:val="Style21"/>
                              <w:keepNext w:val="0"/>
                              <w:keepLines w:val="0"/>
                              <w:widowControl w:val="0"/>
                              <w:shd w:val="clear" w:color="auto" w:fill="auto"/>
                              <w:bidi w:val="0"/>
                              <w:spacing w:before="0" w:after="0" w:line="259"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7.75pt;margin-top:42.950000000000003pt;width:132.25pt;height:19.699999999999999pt;z-index:251657737;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59"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9"/>
        <w:keepNext w:val="0"/>
        <w:keepLines w:val="0"/>
        <w:widowControl w:val="0"/>
        <w:shd w:val="clear" w:color="auto" w:fill="auto"/>
        <w:bidi w:val="0"/>
        <w:spacing w:before="0" w:after="0" w:line="240" w:lineRule="auto"/>
        <w:ind w:left="3140" w:right="0" w:firstLine="0"/>
        <w:jc w:val="left"/>
      </w:pPr>
      <w:r>
        <w:rPr>
          <w:color w:val="000000"/>
          <w:spacing w:val="0"/>
          <w:w w:val="100"/>
          <w:position w:val="0"/>
          <w:shd w:val="clear" w:color="auto" w:fill="auto"/>
          <w:lang w:val="ru-RU" w:eastAsia="ru-RU" w:bidi="ru-RU"/>
        </w:rPr>
        <w:t>Кому выдан: Дудина Марина Сергеевна</w:t>
      </w:r>
    </w:p>
    <w:p>
      <w:pPr>
        <w:pStyle w:val="Style29"/>
        <w:keepNext w:val="0"/>
        <w:keepLines w:val="0"/>
        <w:widowControl w:val="0"/>
        <w:shd w:val="clear" w:color="auto" w:fill="auto"/>
        <w:bidi w:val="0"/>
        <w:spacing w:before="0" w:after="0" w:line="240" w:lineRule="auto"/>
        <w:ind w:left="3140" w:right="0" w:firstLine="0"/>
        <w:jc w:val="left"/>
      </w:pPr>
      <w:r>
        <w:rPr>
          <w:spacing w:val="0"/>
          <w:w w:val="100"/>
          <w:position w:val="0"/>
          <w:shd w:val="clear" w:color="auto" w:fill="auto"/>
          <w:lang w:val="ru-RU" w:eastAsia="ru-RU" w:bidi="ru-RU"/>
        </w:rPr>
        <w:t xml:space="preserve">Сертификат </w:t>
      </w:r>
      <w:r>
        <w:rPr>
          <w:color w:val="20202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00954934В2Е7278АВВЕЕ8300А09С901</w:t>
      </w:r>
      <w:r>
        <w:rPr>
          <w:color w:val="202020"/>
          <w:spacing w:val="0"/>
          <w:w w:val="100"/>
          <w:position w:val="0"/>
          <w:shd w:val="clear" w:color="auto" w:fill="auto"/>
          <w:lang w:val="ru-RU" w:eastAsia="ru-RU" w:bidi="ru-RU"/>
        </w:rPr>
        <w:t>В77</w:t>
      </w:r>
    </w:p>
    <w:p>
      <w:pPr>
        <w:pStyle w:val="Style29"/>
        <w:keepNext w:val="0"/>
        <w:keepLines w:val="0"/>
        <w:widowControl w:val="0"/>
        <w:shd w:val="clear" w:color="auto" w:fill="auto"/>
        <w:bidi w:val="0"/>
        <w:spacing w:before="0" w:after="360" w:line="240" w:lineRule="auto"/>
        <w:ind w:left="3140" w:right="0" w:firstLine="0"/>
        <w:jc w:val="left"/>
      </w:pPr>
      <w:r>
        <w:rPr>
          <w:color w:val="646464"/>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27.08.2024 </w:t>
      </w:r>
      <w:r>
        <w:rPr>
          <w:color w:val="000000"/>
          <w:spacing w:val="0"/>
          <w:w w:val="100"/>
          <w:position w:val="0"/>
          <w:shd w:val="clear" w:color="auto" w:fill="auto"/>
          <w:lang w:val="ru-RU" w:eastAsia="ru-RU" w:bidi="ru-RU"/>
        </w:rPr>
        <w:t xml:space="preserve">по </w:t>
      </w:r>
      <w:r>
        <w:rPr>
          <w:color w:val="838383"/>
          <w:spacing w:val="0"/>
          <w:w w:val="100"/>
          <w:position w:val="0"/>
          <w:shd w:val="clear" w:color="auto" w:fill="auto"/>
          <w:lang w:val="ru-RU" w:eastAsia="ru-RU" w:bidi="ru-RU"/>
        </w:rPr>
        <w:t>20.1</w:t>
      </w:r>
      <w:r>
        <w:rPr>
          <w:color w:val="000000"/>
          <w:spacing w:val="0"/>
          <w:w w:val="100"/>
          <w:position w:val="0"/>
          <w:shd w:val="clear" w:color="auto" w:fill="auto"/>
          <w:lang w:val="ru-RU" w:eastAsia="ru-RU" w:bidi="ru-RU"/>
        </w:rPr>
        <w:t>1</w:t>
      </w:r>
      <w:r>
        <w:rPr>
          <w:spacing w:val="0"/>
          <w:w w:val="100"/>
          <w:position w:val="0"/>
          <w:shd w:val="clear" w:color="auto" w:fill="auto"/>
          <w:lang w:val="ru-RU" w:eastAsia="ru-RU" w:bidi="ru-RU"/>
        </w:rPr>
        <w:t>.2025</w:t>
      </w:r>
    </w:p>
    <w:p>
      <w:pPr>
        <w:pStyle w:val="Style14"/>
        <w:keepNext w:val="0"/>
        <w:keepLines w:val="0"/>
        <w:widowControl w:val="0"/>
        <w:shd w:val="clear" w:color="auto" w:fill="auto"/>
        <w:bidi w:val="0"/>
        <w:spacing w:before="0" w:after="420" w:line="240" w:lineRule="auto"/>
        <w:ind w:left="1720" w:right="0" w:firstLine="0"/>
        <w:jc w:val="left"/>
        <w:rPr>
          <w:sz w:val="28"/>
          <w:szCs w:val="28"/>
        </w:rPr>
      </w:pPr>
      <w:r>
        <w:rPr>
          <w:color w:val="000000"/>
          <w:spacing w:val="0"/>
          <w:w w:val="100"/>
          <w:position w:val="0"/>
          <w:sz w:val="28"/>
          <w:szCs w:val="28"/>
          <w:shd w:val="clear" w:color="auto" w:fill="auto"/>
          <w:lang w:val="ru-RU" w:eastAsia="ru-RU" w:bidi="ru-RU"/>
        </w:rPr>
        <w:t>М.П. Чеботина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838383"/>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Чеботина Марина Петровна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Сертификат № 4СВ06РР646ЕРССС70С902РЕС6АР1 Р2Р6</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с </w:t>
      </w:r>
      <w:r>
        <w:rPr>
          <w:color w:val="000000"/>
          <w:spacing w:val="0"/>
          <w:w w:val="100"/>
          <w:position w:val="0"/>
          <w:shd w:val="clear" w:color="auto" w:fill="auto"/>
          <w:lang w:val="ru-RU" w:eastAsia="ru-RU" w:bidi="ru-RU"/>
        </w:rPr>
        <w:t xml:space="preserve">18.04.2024 по </w:t>
      </w:r>
      <w:r>
        <w:rPr>
          <w:color w:val="646464"/>
          <w:spacing w:val="0"/>
          <w:w w:val="100"/>
          <w:position w:val="0"/>
          <w:shd w:val="clear" w:color="auto" w:fill="auto"/>
          <w:lang w:val="ru-RU" w:eastAsia="ru-RU" w:bidi="ru-RU"/>
        </w:rPr>
        <w:t>12.07.2025</w:t>
      </w:r>
    </w:p>
    <w:sectPr>
      <w:footnotePr>
        <w:pos w:val="pageBottom"/>
        <w:numFmt w:val="decimal"/>
        <w:numRestart w:val="continuous"/>
      </w:footnotePr>
      <w:type w:val="continuous"/>
      <w:pgSz w:w="11900" w:h="16840"/>
      <w:pgMar w:top="1110" w:right="537" w:bottom="1110" w:left="109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10033635</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2024-3352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790.05000000000007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2024-3352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2024-3352</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2024-3352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722630</wp:posOffset>
              </wp:positionH>
              <wp:positionV relativeFrom="page">
                <wp:posOffset>10033635</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2024-3352</w:t>
                          </w:r>
                        </w:p>
                      </w:txbxContent>
                    </wps:txbx>
                    <wps:bodyPr wrap="none" lIns="0" tIns="0" rIns="0" bIns="0">
                      <a:spAutoFit/>
                    </wps:bodyPr>
                  </wps:wsp>
                </a:graphicData>
              </a:graphic>
            </wp:anchor>
          </w:drawing>
        </mc:Choice>
        <mc:Fallback>
          <w:pict>
            <v:shape id="_x0000_s1031" type="#_x0000_t202" style="position:absolute;margin-left:56.899999999999999pt;margin-top:790.05000000000007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2024-3352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8619A"/>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8619A"/>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48"/>
      <w:szCs w:val="48"/>
      <w:u w:val="none"/>
    </w:rPr>
  </w:style>
  <w:style w:type="character" w:customStyle="1" w:styleId="CharStyle22">
    <w:name w:val="Подпись к картинке_"/>
    <w:basedOn w:val="DefaultParagraphFont"/>
    <w:link w:val="Style21"/>
    <w:rPr>
      <w:rFonts w:ascii="Georgia" w:eastAsia="Georgia" w:hAnsi="Georgia" w:cs="Georgia"/>
      <w:b w:val="0"/>
      <w:bCs w:val="0"/>
      <w:i w:val="0"/>
      <w:iCs w:val="0"/>
      <w:smallCaps w:val="0"/>
      <w:strike w:val="0"/>
      <w:color w:val="202020"/>
      <w:sz w:val="10"/>
      <w:szCs w:val="10"/>
      <w:u w:val="none"/>
    </w:rPr>
  </w:style>
  <w:style w:type="character" w:customStyle="1" w:styleId="CharStyle28">
    <w:name w:val="Основной текст (5)_"/>
    <w:basedOn w:val="DefaultParagraphFont"/>
    <w:link w:val="Style27"/>
    <w:rPr>
      <w:rFonts w:ascii="Georgia" w:eastAsia="Georgia" w:hAnsi="Georgia" w:cs="Georgia"/>
      <w:b w:val="0"/>
      <w:bCs w:val="0"/>
      <w:i w:val="0"/>
      <w:iCs w:val="0"/>
      <w:smallCaps w:val="0"/>
      <w:strike w:val="0"/>
      <w:color w:val="E6E6E6"/>
      <w:sz w:val="12"/>
      <w:szCs w:val="12"/>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3C3C3C"/>
      <w:sz w:val="12"/>
      <w:szCs w:val="12"/>
      <w:u w:val="none"/>
    </w:rPr>
  </w:style>
  <w:style w:type="paragraph" w:customStyle="1" w:styleId="Style2">
    <w:name w:val="Основной текст (3)"/>
    <w:basedOn w:val="Normal"/>
    <w:link w:val="CharStyle3"/>
    <w:pPr>
      <w:widowControl w:val="0"/>
      <w:shd w:val="clear" w:color="auto" w:fill="auto"/>
      <w:spacing w:after="120" w:line="278" w:lineRule="auto"/>
      <w:jc w:val="center"/>
    </w:pPr>
    <w:rPr>
      <w:rFonts w:ascii="Times New Roman" w:eastAsia="Times New Roman" w:hAnsi="Times New Roman" w:cs="Times New Roman"/>
      <w:b w:val="0"/>
      <w:bCs w:val="0"/>
      <w:i w:val="0"/>
      <w:iCs w:val="0"/>
      <w:smallCaps w:val="0"/>
      <w:strike w:val="0"/>
      <w:color w:val="48619A"/>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after="90" w:line="254" w:lineRule="auto"/>
      <w:jc w:val="center"/>
    </w:pPr>
    <w:rPr>
      <w:rFonts w:ascii="Times New Roman" w:eastAsia="Times New Roman" w:hAnsi="Times New Roman" w:cs="Times New Roman"/>
      <w:b/>
      <w:bCs/>
      <w:i w:val="0"/>
      <w:iCs w:val="0"/>
      <w:smallCaps w:val="0"/>
      <w:strike w:val="0"/>
      <w:color w:val="48619A"/>
      <w:sz w:val="19"/>
      <w:szCs w:val="19"/>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Заголовок №1"/>
    <w:basedOn w:val="Normal"/>
    <w:link w:val="CharStyle18"/>
    <w:pPr>
      <w:widowControl w:val="0"/>
      <w:shd w:val="clear" w:color="auto" w:fill="auto"/>
      <w:spacing w:after="460"/>
      <w:outlineLvl w:val="0"/>
    </w:pPr>
    <w:rPr>
      <w:rFonts w:ascii="Arial" w:eastAsia="Arial" w:hAnsi="Arial" w:cs="Arial"/>
      <w:b w:val="0"/>
      <w:bCs w:val="0"/>
      <w:i w:val="0"/>
      <w:iCs w:val="0"/>
      <w:smallCaps w:val="0"/>
      <w:strike w:val="0"/>
      <w:sz w:val="48"/>
      <w:szCs w:val="48"/>
      <w:u w:val="none"/>
    </w:rPr>
  </w:style>
  <w:style w:type="paragraph" w:customStyle="1" w:styleId="Style21">
    <w:name w:val="Подпись к картинке"/>
    <w:basedOn w:val="Normal"/>
    <w:link w:val="CharStyle22"/>
    <w:pPr>
      <w:widowControl w:val="0"/>
      <w:shd w:val="clear" w:color="auto" w:fill="auto"/>
      <w:spacing w:line="264" w:lineRule="auto"/>
    </w:pPr>
    <w:rPr>
      <w:rFonts w:ascii="Georgia" w:eastAsia="Georgia" w:hAnsi="Georgia" w:cs="Georgia"/>
      <w:b w:val="0"/>
      <w:bCs w:val="0"/>
      <w:i w:val="0"/>
      <w:iCs w:val="0"/>
      <w:smallCaps w:val="0"/>
      <w:strike w:val="0"/>
      <w:color w:val="202020"/>
      <w:sz w:val="10"/>
      <w:szCs w:val="10"/>
      <w:u w:val="none"/>
    </w:rPr>
  </w:style>
  <w:style w:type="paragraph" w:customStyle="1" w:styleId="Style27">
    <w:name w:val="Основной текст (5)"/>
    <w:basedOn w:val="Normal"/>
    <w:link w:val="CharStyle28"/>
    <w:pPr>
      <w:widowControl w:val="0"/>
      <w:shd w:val="clear" w:color="auto" w:fill="auto"/>
      <w:spacing w:after="100"/>
      <w:jc w:val="center"/>
    </w:pPr>
    <w:rPr>
      <w:rFonts w:ascii="Georgia" w:eastAsia="Georgia" w:hAnsi="Georgia" w:cs="Georgia"/>
      <w:b w:val="0"/>
      <w:bCs w:val="0"/>
      <w:i w:val="0"/>
      <w:iCs w:val="0"/>
      <w:smallCaps w:val="0"/>
      <w:strike w:val="0"/>
      <w:color w:val="E6E6E6"/>
      <w:sz w:val="12"/>
      <w:szCs w:val="12"/>
      <w:u w:val="none"/>
    </w:rPr>
  </w:style>
  <w:style w:type="paragraph" w:customStyle="1" w:styleId="Style29">
    <w:name w:val="Основной текст (2)"/>
    <w:basedOn w:val="Normal"/>
    <w:link w:val="CharStyle30"/>
    <w:pPr>
      <w:widowControl w:val="0"/>
      <w:shd w:val="clear" w:color="auto" w:fill="auto"/>
      <w:ind w:left="3240"/>
    </w:pPr>
    <w:rPr>
      <w:rFonts w:ascii="Arial" w:eastAsia="Arial" w:hAnsi="Arial" w:cs="Arial"/>
      <w:b w:val="0"/>
      <w:bCs w:val="0"/>
      <w:i w:val="0"/>
      <w:iCs w:val="0"/>
      <w:smallCaps w:val="0"/>
      <w:strike w:val="0"/>
      <w:color w:val="3C3C3C"/>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