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11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28015" cy="70739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8015" cy="7073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5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УПРАВЛЕНИЕ</w:t>
        <w:br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Федеральной антимонопольной службы</w:t>
        <w:br/>
        <w:t>по Вологодской области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160000, г. Вологда, ул. Пушкинская, 25, тел. (8172)72-99-70; факс (8172)72-46-64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е-таП: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1о35@Еа8.цоу.ги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1Шр://уо1о§с1а.Еа8.§оу.ги</w:t>
      </w:r>
      <w:bookmarkEnd w:id="2"/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7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Панова О.А.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6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7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Бюджетное учреждение здравоохранения Вологодской области «Вологодская областная станция переливания крови №1»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470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470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035/06/33-763/2024</w:t>
      </w:r>
      <w:bookmarkEnd w:id="10"/>
    </w:p>
    <w:p>
      <w:pPr>
        <w:pStyle w:val="Style4"/>
        <w:keepNext w:val="0"/>
        <w:keepLines w:val="0"/>
        <w:widowControl w:val="0"/>
        <w:shd w:val="clear" w:color="auto" w:fill="auto"/>
        <w:tabs>
          <w:tab w:pos="8586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«25» сентября 2024 г.</w:t>
        <w:tab/>
        <w:t>г. Вологда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Управления Федеральной антимонопольной службы по Вологодской области (далее — комиссия Управления) в составе: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Сучков О.Н. - председатель комиссии Управления, временно исполняющий обязанности руководителя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Смышляева И.А. - член комиссии Управления, начальник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Косоногова Е.А. - член комиссии Управления, старший специалист 1 разряда отдела контроля органов власти и закупок Управления Федеральной антимонопольной службы по Вологодской области,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 использованием видеоконференцсвязи жалобу ИП Пановой О.А. (далее - Заявитель) на положения извещения о проведении запроса котировок в электронной форме, предмет закупки - поставка перчаток медицинских, извещение № 0330200001624000031 (далее - запрос котировок, закупка), Заказчик - БУЗ ВО «Вологодская областная станция переливания крови №1, при участии представителя Заявителя, представителей Заказчика,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18.09.2024 в Управление Федеральной антимонопольной службы по Вологодской области (далее - Управление) посредством единой информационной системы в сфере закупок (далее - ЕИС) поступила жалоба Заявителя на положения извещения о проведении электронного аукциона, противоречащие Федеральному закону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Заявителя подана в надлежащий срок, а также соответствует требованиям, предусмотренным ст. 105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обжалует положения извещения о проведении электронного аукциона: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Соглсно доводу жалобы положения извещения о проведении электронного аукциона не соответствуют требованиям законодательства о контрактной системе ввиду следующего.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техническом задании в позиции «Перчатки смотровые/процедурные нитриловые, неоудренные, нестерильные» (п.2) установлены требования: «Форма перчатки: с повторяющимися кольцевыми анатомическими расширениями в области суставов пальцев». Данная характеристика ограничивает участие в закупке других поставщиков, при этом не несет никакой функциональной или полезной нагрузке для Заказчика, так как форма перчатки с повторяющимися кольцевыми анатомическими расширениями в области суставов пальцев обеспечивается за счет применения на неанатомические формы перчатки микротекстурированных участков в области суставов пальцев и расширениями за счет повышенной растяжимости материала перчатки;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данной позиции Заказчик установил также требование к цвету перчаток: «Белый или бежевый». ГОСТом Р 52239-2004 не предусмотрено требований к цвету перчаток. Возможно применение перчаток других контрасный к цвету крови цветов: натуральный, молочный, телесный и иные светлые оттенки.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возражения на жалобу (далее - Возражения), согласно которым, жалоба является необоснованной.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 представил возражения на жалобу, согласно которым, доводы Заявителя не состоятельны.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Управления, рассмотрев представленные материалы в их совокупности, заслушав представителей Заявителя, Заказчика и Уполномоченного органа, пришла к следующему выводу.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12.09.2024 в ЕИС размещено извещение о проведении запроса котирвок.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контракта: 297 359,50 руб.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заявок: 19.09.2024.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 ч. 2 ст. 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 с описанием объекта закупки в соответствии со ст. 33 Закона о контрактной системе.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1, 2 ч. 1 ст. 33 Закона о контрактной системе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смысла п. 1,2 ч. 1, ч. 2 ст. 33 Закона о контрактной системе потребности заказчика являются определяющим фактором при установлении им соответствующих требований.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Закона о контрактной системе, именно таким образом, чтобы участник закупки смог подать заявку на участие в закупке,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Закон о контрактной системе не содержит норм, ограничивающих право заказчика включать в документацию о закупке требования к объекту закупки, которые являются для него значимыми, так и норм, обязывающих заказчика устанавливать в документации,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Описании объекта закупки установлены показатели, позволяющие определить соответствие закупаемого товара установленным Заказчиками требованиям.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14 ч. 3 ст. 4 Закона о контрактной системе, ЕИС содержит в том числе Каталог товаров, работ, услуг для обеспечения государственных и муниципальных нужд (далее - КТРУ).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 5 ст. 23 Закона о контрактной системе, формирование и ведение в ЕИС КТРУ обеспечиваются федеральным органом исполнительной власти по регулированию контрактной системы в сфере закупок.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ч. 6 ст. 23 Закона о контрактной системе, порядок формирования и ведения в ЕИС КТРУ, а также правила использования КТРУ устанавливаются Правительством Российской Федерации.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Постановление № 145) утверждены Правила формирования и ведения в ЕИС КТРУ и Правила использования КТРУ.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 2 Правил формирования и ведения в ЕИС КТРУ под КТРУ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ОКПД 2 и включающий в себя информацию в соответствии с настоящими Правилами.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4 Правил использования КТРУ заказчики обязаны применять информацию, включенную в позицию КТРУ в соответствии с пп. «б» - «г» и «е» - «з» п. 10 Правил формирования и ведения в ЕИС КТРУ, утвержденных Постановлением № 145,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товара, работы, услуги;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5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товара, работы, услуги (при наличии такого описания в позиции).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 7 Правил в случае осуществления закупки товара, работы, услуги, в отношении которых в КТРУ отсутствуют соответствующие позиции, заказчик осуществляет описание товара, работы, услуги в соответствии с требованиями ст. 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 1 ч. 1 ст. 33 Закона о контрактной системе, указываются с использованием ЕИС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 1 ст. 42, п. 1 ч. 1 ст. 75 Закона о контрактной системе соответственно. В качестве кода КТРУ, на которые в КТРУ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рассматриваемой закупке описание объекта закупки осуществлено с использованием как позиции КТРУ 22.19.60.119-00000008 «Перчатки смотровые/процедурные нитриловые, неопудренные, нестерильные». В данной позиции КТРУ отсутствует описание товара, в связи с чем, описание объекта закупки осуществлено в соответствии с требованиями ст. 33 Закона о контрактной системе. По всем позициям закупаемых перчаток в отношении установленных характеристик (показателей) и их значений в Описании объекта закупки указано обоснование.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позиции 2 Описания объекта закупки установлено требование к форме перчатки с повторяющимися кольцевыми анатомическими расширениями в области суставов пальцев и указано обоснование: «для профилактики утомляемости и снижения нагрузки на пальцы и кисть при продолжительных манипуляциях и манипуляциях, требующих точности движений».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обратил внимание на то, что к поставке требуются перчатки универсальной, неанатомической формы, без разделения на правую и левую руку, что соответствует положениям Методических рекомендаций МР 3.5.1.0113-16. Кольцевые анатомические расширения требуются в области суставов пальцев. По поводу специфики применения этих перчаток отмечено, что указанные перчатки закупаются для проведения анестезиологических, реанимационных манипуляций, а также для манипуляций, проводимых в отделениях интенсивной терапии, наряду с этим для проведения лабораторных исследований, и для стоматологических манипуляций. Все эти манипуляции требуют точности, а также сопоставлены с длительностью самих манипуляций. В указанных обстоятельствах, очевидна, статическая нагрузка на пальцы рук. В совокупности указанные манипуляции в большом количестве проводятся ежедневно на систематической основе. При этом, статическая нагрузка на кисти рук, отдельно выделена в перечень характерных вредных и (или) опасных производственных риски при выполнении отдельных работ (Приказ Министерства труда и социальной защиты Российской Федерации от 18.12.2020 № 928н «Об утверждении Правил по охране труда в медицинских организациях»).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позиции 2 Описания объекта закупки установлено требование к цвету перчатки: белый или светло-бежевый с указанием обоснования: «для объективной оценки следов биологических жидкостей, попадающих на перчатки во время лечебно-диагностических процедур и манипуляций».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пояснил, что требование именно к белому или светло-бежевому цвету перчаток установлено в связи с тем, что данные цветовые спектры включают в себя и молочный и телесный и тому подобный цвета.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данных доводов Заявителя Заказчик в Возражениях привел подробные пояснения относительно установления оспариваемых Заявителем требований со ссылкой на потребность лечебных учреждений.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Потребность Заказчика в закупке перчаток именно с теми характеристиками, которые установлены в Описании объекта закупки, Заявителем не опровергнута.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с учетом заявленных доводов жалобы отмечает, что согласно Обзору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утвержденному Президиумом Верховного Суда Российской Федерации 28.06.2017, 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п. 2 ст.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Федерального закона от 21.11.2011 № 323-ФЗ «Об основах охраны здоровья граждан в Российской Федерации» одним из основных принципов охраны здоровья является приоритет интересов пациента при оказании медицинской помощи.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Предъявляя определенные требования к функциональным, техническим и качественным характеристикам, эксплуатационным характеристикам объекта закупки, Заказчик в первую очередь руководствуется тем, что изделия оказывают непосредственное влияние на здоровье и жизнь человека, при установлении конкретных требований к предмету закупок, главным является достижение при лечении пациентов наилучшего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терапевтического эффекта и максимальное исключение любых нежелательных реакций и последствий.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Основной задачей законодательства Российской Федерации о контрактной системе, устанавливающего порядок проведения торгов в целях удовлетворения государственных и муниципальных нужд, является не столько обеспечение максимально широкого круга участников,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Предметом рассматриваемой закупки является поставка товара, а не его производство.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рассматриваемом случае, Заявитель не доказал тот факт, что оспариваемые требования к товару, включенные в Описание объекта закупки, является излишним и создало кому-либо преимущества для участия в закупке, являлись непреодолимыми для участия в закупке.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представил документы, подтверждающие соответствие по данной позиции товара как минимут двух производителей.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комиссией Управления установлено, что описание объекта закупки сформировано в соответствии с требованиями ст. 33 Закона о контрактной системе. Характеристики поставляемого товара установлены в соответствии с потребностью Заказчиков и исходя из специфики осуществляемой деятельности лечебных учреждений.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Доводы Заявителя не нашли своего подтверждения.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 1 ч. 15 ст. 99 Закона о контрактной системе, комиссия Управления провела внеплановую проверку, по результатам которой нарушений не установлено.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комиссия Управления, руководствуясь ст. ст. 99, 106 Закона о контрактной системе,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4"/>
        <w:keepNext w:val="0"/>
        <w:keepLines w:val="0"/>
        <w:widowControl w:val="0"/>
        <w:shd w:val="clear" w:color="auto" w:fill="auto"/>
        <w:tabs>
          <w:tab w:pos="1303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</w:t>
        <w:tab/>
        <w:t>Признать жалобу ИП Пановой О.А. необоснованной.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Требование о приостановке определения поставщика (подрядчика, исполнителя) в части подписания контракта, установленное Управлением на основании ч. 7 ст. 106 Закона о контрактной системе, отменить.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drawing>
          <wp:anchor distT="0" distB="160020" distL="114300" distR="1428750" simplePos="0" relativeHeight="125829378" behindDoc="0" locked="0" layoutInCell="1" allowOverlap="1">
            <wp:simplePos x="0" y="0"/>
            <wp:positionH relativeFrom="page">
              <wp:posOffset>3799840</wp:posOffset>
            </wp:positionH>
            <wp:positionV relativeFrom="paragraph">
              <wp:posOffset>177800</wp:posOffset>
            </wp:positionV>
            <wp:extent cx="1786255" cy="944880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786255" cy="944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5717540</wp:posOffset>
                </wp:positionH>
                <wp:positionV relativeFrom="paragraph">
                  <wp:posOffset>367665</wp:posOffset>
                </wp:positionV>
                <wp:extent cx="1179830" cy="551180"/>
                <wp:wrapNone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9830" cy="5511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О.Н. Сучков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И.А. Смышляева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50.19999999999999pt;margin-top:28.949999999999999pt;width:92.900000000000006pt;height:43.3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О.Н. Сучков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И.А. Смышляева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14400" distB="0" distL="2030095" distR="146050" simplePos="0" relativeHeight="125829379" behindDoc="0" locked="0" layoutInCell="1" allowOverlap="1">
                <wp:simplePos x="0" y="0"/>
                <wp:positionH relativeFrom="page">
                  <wp:posOffset>5715635</wp:posOffset>
                </wp:positionH>
                <wp:positionV relativeFrom="paragraph">
                  <wp:posOffset>1092200</wp:posOffset>
                </wp:positionV>
                <wp:extent cx="1149985" cy="18732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98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Е.А. Косоногова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50.05000000000001pt;margin-top:86.pt;width:90.549999999999997pt;height:14.75pt;z-index:-125829374;mso-wrap-distance-left:159.84999999999999pt;mso-wrap-distance-top:72.pt;mso-wrap-distance-right:11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Е.А. Косоногова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месяцев со дня его принятия.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sectPr>
      <w:headerReference w:type="default" r:id="rId9"/>
      <w:headerReference w:type="first" r:id="rId10"/>
      <w:footnotePr>
        <w:pos w:val="pageBottom"/>
        <w:numFmt w:val="decimal"/>
        <w:numRestart w:val="continuous"/>
      </w:footnotePr>
      <w:pgSz w:w="11900" w:h="16840"/>
      <w:pgMar w:top="1066" w:right="791" w:bottom="1133" w:left="1262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6971665</wp:posOffset>
              </wp:positionH>
              <wp:positionV relativeFrom="page">
                <wp:posOffset>434340</wp:posOffset>
              </wp:positionV>
              <wp:extent cx="50165" cy="8699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016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48.95000000000005pt;margin-top:34.200000000000003pt;width:3.9500000000000002pt;height:6.850000000000000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Основной текст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Основной текст"/>
    <w:basedOn w:val="Normal"/>
    <w:link w:val="CharStyle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14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140"/>
      <w:ind w:left="2350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