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1780540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1о24й;Гаа.ао\'.ги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399999999999999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1о24й;Гаа.ао\'.ги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399999999999999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«Фалкон Био»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Нежинская, д. 8, корп. 3, кв. 28,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119517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Свердлова, д. 13А, офис 2, этаж 3,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Улан-Удэ, Республика Бурятия, 670000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1епдегЬохх@таП.ш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«ККБ»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П. Железняка, д. 3А, г. Красноярск, 660022 хакирИ@теддогод.ш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 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пр-т Мира, д. 10, оф. 53, г. Красноярск, 660049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адх_рпет@таП.ш; адх_8ЬсЬегЬта@таП.ги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ко@8ЬегЬапк-а8Еш; пт8то1т@8ЬегЬапк-а81.ги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024/06/106-2953/2024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77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начальник отдела, М.А. Грицай, члены Комиссии - заместитель начальника отдела, Е.А. Шмыгина, ведущий специалист-эксперт, А.Р. Мулагалеев (далее - Комиссия), рассмотрев жалобу ООО «Фалкон Био» (далее - податель жалобы) на действия уполномоченного органа - Агентства государственного заказа Красноярского края (далее - уполномоченный орган), заказчика - Краевого государственного бюджетного учреждения здравоохранения «Краевая клиническая больница» (далее - заказчик) при проведении открытого аукциона в электронной форме ЭА-№-15405/24 «Электронный аукцион на право заключения контракта на поставку медицинских изделий для клинико-диагностической лаборатории» (далее - электронный аукцион), извещение № 0119200000124014721 на электронной торговой площадке АО «Сбербанк-АСТ»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ООО «Фалкон Био» на действия уполномоченного органа, заказчика при проведении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о проведении электронного аукциона с нарушением требований,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части 4 статьи 105 указанного закона, в связи с чем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уполномоченного органа, заказчика,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органу, заказчику,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лично присутствовали представители уполномоченного органа, заказчика, надлежащим образом подтвердившие свои личности и полномочия. Также в указанном заседании Комиссии с использованием системы видео</w:t>
        <w:softHyphen/>
        <w:t>конференц-связи принял участие представитель подателя жалобы, надлежащим образом подтвердивший свои личность и полномочия.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что, по мнению подателя жалобы, некоторые положения извещения о закупке и устанавливаемые к объекту закупки требования нарушают положения Закона о контрактной системе. В частности, заявитель оспаривает установление заказчиком характеристик об отсутствии перекрестных реакций, об объеме буферного раствора, о времени ожидания результата, о комплектности набора, указывая на отсутствие их значимости и влияния на результат тестирования, избыточность и ограничение в связи с их наличием конкуренции.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считает, что ни один существующий набор полностью не подходит под совокупность требуемых Заказчиком характеристик. В подтверждение данного заявления податель жалобы представил Сравнительную таблицу товаров различных производителей (ООО «РЭД», ООО «Имбиан Лаб», «Цзянсу Аккьюраси Байотекнолоджи Ко., Лтд.») и инструкции, на основании которых такая таблица была составлена подателем жалобы. При этом в таблице податель жалобы также рассматривал характеристику «подставка для пробирок». Так, согласно проведенному подателем жалобы сравнительному анализу товар производителя ООО «РЭД» не подходит по требованиям к «Отсутствию перекрестных реакций», товар производителя ООО «Имбиан Лаб» не соответствует требованиям по характеристикам «Комплектность набора» и «Подставка для пробирок», товар производителя «Цзянсу Аккьюраси Байотекнолоджи Ко., Лтд.» не соответствует по характеристикам «Буферный раствор», «Комплектность набора» и «Подставка для пробирок».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орган, заказчик с доводами жалобы в письменных пояснениях не согласились, просили в удовлетворении жалобы отказать, указывая на формирование положений извещения о проведении аукциона в соответствии с требованиями Закона о контрактной системе и фактической потребностью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у заказчика потребностью уполномоченным органом были совершены действия по определению поставщика (подрядчика, исполнителя) посредством проведения электронного аукциона на поставку медицинских изделий для клинико-диагностической лаборатории (Реагенты диагностические для одноэтапного быстрого качественного выявления антигенов вируса 8АК.8-СоУ-2 в назофарингеальных мазках человека методом иммунохроматографического анализа (ИХА) с целью предварительного скринингового обследования при диагностике СОVI^-19).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6 статьи 23 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Правила формирования формирования КТРУ), а также правила использования указанного каталога (далее - Правила использования КТРУ) устанавливаются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КТРУ и Правила использования КТРУ утверждены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пункта 4 Правил использования КТРУ следует,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пунктам 5, 6 Правил использования КТРУ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системе. В случае предоставления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такой информации (при наличии описания товара, работы, услуги в позиции каталога).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аукциона, сформированных с использованием ЕИС путем заполнения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путем прикрепления электронных документов (часть 2 статьи 42 Закона о контрактной системе, пункт 4 вышеуказанного Положения), Комиссия установила, что заказчиком осуществляется закупка товара - Реагенты диагностические одноэтапного быстрого качественного выявления антигенов вируса 8АК8-СоУ-2 в назофарингеальных мазках человека методом иммунохроматографического а-19.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не установила наличие в КТРУ соответствующей позиции в отношении товара, закупаемого заказником, в связи с чем на основании пункта 7 Правил использования КТРУ заказчиком осуществлено описание товара в соответствии с требованиями статьи 33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заказчиком помимо прочих установлены следующие характеристики, в том числе обжалуемые подателем жалобы: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Количество выполняемых тестов, &gt; 25, Штука, Участник закупки указывает в заявке конкретное значение характеристики;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Подставка для пробирок, Наличие, Значение характеристики не может изменяться участником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Время ожидания результата, &gt; 8 и &lt; 15, Минута, Значение характеристики не может изменяться участником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Стерильные тампоны для сбора образцов, &gt; 25, Штука, Участник закупки указывает в заявке конкретное значение характеристики;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Индивидуально упакованная тест-кассета с влагопоглотителем, &gt; 25, Штука, Участник закупки указывает в заявке конкретное значение характеристики;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перекрестных реакций с образцами, содержащими антигены эндемических коронави-русов человека НКШ, ОС43, ЫЬ63, 229Е, 8АК8-СоУ, МЕК8-С'о\', аденовируса, вируса парагриппа 1-4 типа, вируса гриппа А и Б, человеческого метапневмовируса, энтеровируса 71, респираторно-синтициального вируса, риновируса, Мусор1азта рпеитопае, СЫатуШа рпеитошае, 81гер1ососси8 рпеитоша, МусоЬасТёпит 1иЬегеи1ому наличие, Значение характеристики не может изменяться участником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Буферный раствор, &gt; 10, Кубический сантиметр;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миллилитр, Участник закупки указывает в заявке конкретное значение характеристики.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отмечает, что системное толкование норм Закона о контрактной системе позволяет сделать вывод о том, что заказчик вправе предъявлять такие требования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участников закупки. При этом заказчик вправе в необходимой степени детализировать объект закупки, уточнить его характеристики, поскольку потребности заказчика являются определяющим фактором при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установлении соответствующих требований.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извещение о проведении электронного аукциона требования к объекту закупки, которые являются для него значимыми, равно как и норм, обязывающих заказчика устанавливать в этой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установление в извещении о проведении аукциона иных требований к характеристикам закупаемых Реагентов диагностических не будет служить цели удовлетворения потребности заказчика. Доказательств обратного Комиссии представлено не было.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Формирование положений извещений о проведении закупок в сфере оказания медицинских услуг осуществляется заказчиком в целях достижения максимального результата лечения пациентов,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граждан в сфере охраны здоровья, приоритет интересов пациента, доступность и качество при оказании медицинской помощи.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письменных пояснений заказчика в совокупности с содержанием Разъяснений положений извещения об осуществлении закупки от 16.09.2024 №РИ2 следует, что при описании характеристик закупаемой продукции заказчик руководствовался своей объективной потребностью и учитывал специфику применения Реагентов диагностических, указав все необходимые показатели, используемые для определения соответствия предлагаемых товаров нуждам заказчика,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Характеристика «Отсутствие перекрестных реакций с образцами, содержащими антигены эндемических коронави-русов человека НКШ, ОС43, ЫЬ63, 229Е, 8АК8-СоУ, МЕК8-С'о\', аденовируса, вируса парагриппа 1-4 типа, вируса гриппа А и Б, человеческого метапневмовируса, энтеровируса 71, респираторно-синтициального вируса, риновируса, Мусор1азша рпеитопае, СЫатусПа рпеитошае, 81гер1ососс1ш рпеитоша, МусоЬасТёпит 1иЬегси1ому наличие, Значение характеристики не может изменяться участником закупки».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Отсутствие перекрестных реакций с образцами, содержащими антигены других вирусов, бактерий, является одной из важнейших характеристик тест-системы. Этот параметр имеет максимальную клиническую значимость. При отсутствии этой характеристики производитель не гарантирует, что тест-система выдаст положительный результат на совершенно другой вирусный или бактериальный агент. Например, возбудитель Мусор1ампа рпеитопае, СЫатусПа рпеитошае в </w:t>
      </w: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отличии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от вируса 8АК8-СоУ-2 вызывает совершенно разные заболевания, которые лечатся кардинально по-разному и представляют опасность для больного совершенно другого уровня.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перекрестной реактивности в экспресс-тестах имеет критическое значение, так как это обеспечивает специфичность теста и точность результатов. Перекрёстная реактивность может привести к ложноположительным результатам, когда тест ошибочно определяет наличие 8АК8-СоУ-2 из-за реакции на другие, не связанные с 8АК8-СоУ-2 респираторные возбудители. Хотя общий перечень известных возбудителей респираторных заболеваний велик, экспресс-тесты на 8А1&lt;8-С'о\'-2 разработаны для идентификации только одного конкретного вируса. Это подчеркивает необходимость высокой специфичности теста, чтобы избежать перекрестной реактивности с широким спектром других возбудителей, которые могут вызывать схожую симптоматику.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как медицинскому учреждению, необходимо позаботится о точности интерпретирования результатов тестирования на антиген 8АК8-СоУ-2, для повышения надежности выявления штаммов С0УЮ-19 и исключения ложноположительных результатов, так как это является определяющим фактором для спасения жизни пациента и эффективности назначаемого лечения.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рынке большое количество ответственных производителей гарантирующих качество своих тестов и отсутствие перекрёстной реакции с антигенами, вызывающими одинаковые симптомы, но которые требуют назначение разных лекарственных препаратов.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Характеристика «Время ожидания результата, &gt; 8 и &lt; 15, Минута, Значение характеристики не может изменяться участником закупки».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данной характеристике сформированы с учетом особенностей технологического процесса. Сотрудником заказчика может проводиться сразу несколько тестирований в зависимости от количества поступающих больных. Интервал от 8 до 15 минут является усредненным, исходя из инструкций разных производителей. Для заказчика важно, чтобы было время для раскапывания буферного раствора между началом считывания результатов тестирования. Минимальное время раскапывания - 8 минут, далее сотрудник переходит к процессу считывания результатов, которое длится определённое количество времени. В течении нескольких лет данный процесс отработан и удобен для заказчика. Если реакция пройдёт раньше, а до снятия результатов пройдёт много времени, то результат деградирует, тест будет проведён не верно, при этом в инструкции практически каждого производителя указан ограниченный срок снятия результатов.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Характеристика «Буферный раствор, &gt; 10, Кубический сантиметр;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миллилитр, Участник закупки указывает в заявке конкретное значение характеристики».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количество буферного раствора выбрано заказчиком с учетом специфики проведения тестирования медицинским персоналом заказчика и обусловлено накопленным опытом использования расходного материала с заданными параметрами в рамках оказания медицинской помощи и достижения результативности проведенных исследований. В том числе, заказчик указал на то, что зачастую персоналу не хватало буферного раствора для проведения заданного в упаковке количества тестов. Заказчик, как бюджетное учреждение, лишен возможность расходования не полного количества тестов из-за нехватки буферного раствора. В связи с указанным обстоятельством в целях недопущения ограничения конкуренции заказчиком выбрано усредненное значение рассматриваемой характеристики на основании данных инструкций разных производителей.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«Количество выполняемых тестов, &gt; 25, Штука, Участник закупки указывает в заявке конкретное значение характеристики», «Стерильные тампоны для сбора образцов, &gt; 25, Штука, Участник закупки указывает в заявке конкретное значение характеристики», «Индивидуально упакованная тест-кассета с влагопоглотителем, &gt; 25, Штука, Участник закупки указывает в заявке конкретное значение характеристики».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Данные характеристики предъявлены заказчиком в связи с тем, что при большом потоке тестируемых у заказчика имеется проблема нехватки мест хранения. Тем самым для обеспечения оптимизации трудозатрат, удобства пользования и наибольшего количества тестов на складе упаковка с наибольшим количеством тестов максимально соответствует потребности учреждения.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Комиссия в части предъявления требований к количеству тестов отмечает, что, исходя из формулировки установленного заказчиком требования, участники закупки не ограничены в праве предложить большее количество тестов в упаковке (25 и более).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 заказчика имеется объективная потребность в приобретении Реагентов диагностических со спорными характеристиками, заказчиком при описании требований к закупаемым товарам учтена специфика применения медицинских изделий.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2 статьи 4 Федерального закона от 21.11.2011 № 323-ФЗ «Об основах охраны здоровья граждан в Российской Федерации» (далее - Закон об основах охраны здоровья граждан в Российской Федерации) одним из основных принципов охраны здоровья является приоритет интересов пациента при оказании медицинской помощи.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статьи 98 Закона об основах охраны здоровья граждан в Российской Федерации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гражданам медицинской помощи.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установлении конкретных требований к объекту закупки определяющим является достижение соответствующего уровня безопасности при лечении пациентов, максимальное исключение любых нежелательных реакций и последствий в рамках оказания медицинской помощи, как пациентам, так и медицинскому персоналу.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том числе на основании указанных положений Закона об основах охраны здоровья граждан в Российской Федерации заказчиком были установлены характеристики к медицинским изделиям с учетом особенностей, имеющих принципиальную значимость для заказчика с учетом специфики его деятельности, в которой решающее значение имеет необходимость оказания качественной медицинской помощи.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установлении конкретных требований к объекту закупки определяющим является достижение соответствующего уровня безопасности при лечении пациентов, максимальное исключение любых нежелательных реакций и последствий в рамках оказания медицинской помощи, как пациентам, так и медицинскому персоналу.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доводы подателя жалобы о включении в описание объекта закупки оспариваемых технических параметров, которые, по мнению подателя жалобы, являются избыточными и сужают круг возможных участников, опровергается пояснениями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статьи 33 Закона о контрактной системе, характеристики объекта закупки устанавливаются заказчиком исходя из цели заключения государственного контракта и соответствующих, определенных с учетом данных целей, потребностей заказчика. В рассматриваемом случае в описании объекта закупки извещения о проведении аукциона установлены четкие и конкретные требования к закупаемым Реагентам диагностическим с учетом потребности заказчика, отвечающей интересам пациентов и персонала учреждения, что не противоречит требованиям действующего законодательства.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характеристики, включенные заказчиком в описание объекта закупки, сформированные с учетом нужд заказчика, не подлежат признанию избыточными, вопреки утверждению подателя жалобы об обратном. Предъявляемые заказчиком требования к товару требований, подлежащих обязательному соблюдению, норм действующего законодательства не нарушают, доказательства обратного у Комиссии отсутствуют.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податель жалобы не приводит доказательств того, что включение спорных характеристик не позволило ему определить потребность заказчика, сформировать свое предложение при проведении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рассмотренные выше доводы подателя жалобы о неправомерном формировании заказчиком описания объекта закупки не находят своего подтверждения в ходе рассмотрения жалобы Комиссией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Положения статьи 6 Закона о контрактной системе устанавливают, что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1 статьи 12 Закона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принципы обеспечения конкуренции и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подлежащими соблюдению в равной степени во всех случаях.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Более того, основной задачей законодательства,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 и в торгах могут участвовать лишь те лица, которые соответствуют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названным целям. Таким образом, включение в документацию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Возможное сужение круга участников закупки с одновременным повышением эффективности использования финансирования (обеспечением его экономии) не может само по себе рассматриваться в качестве нарушения требований Закона о защите конкуренции.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настоящем решении Комиссией установлено, что при формировании описания объекта закупки заказчик исходил из требований статьи 33 Закона о контрактной системе, а также фактической потребности заказчика, обусловленной необходимостью своевременного и качественного оказания медицинских услуг пациентам при необходимости создания надлежащих условий труда персоналу заказчика как медицинского учреждения.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считает, что ни один существующий набор полностью не подходит под совокупность требуемых Заказчиком характеристик. В подтверждение данного заявления податель жалобы представил Сравнительную таблицу товаров различных производителей (ООО «РЭД», ООО «Имбиан Лаб», «Цзянсу Аккьюраси Байотекнолоджи Ко., Лтд.») и инструкции, на основании которых такая таблица была составлена подателем жалобы. Так, согласно проведенному подателем жалобы сравнительному анализу товар производителя ООО «РЭД» не подходит по требованиям к «Отсутствию перекрестных реакций», товар производителя ООО «Имбиан Лаб» не соответствует требованиям по характеристикам «Комплектность набора» и «Подставка для пробирок», товар производителя «Цзянсу Аккьюраси Байотекнолоджи Ко., Лтд.» не соответствует по характеристикам «Буферный раствор», «Комплектность набора» и «Подставка для пробирок».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 подателем жалобы не представлено Комиссии доказательств, что проанализированные им товары входят в закрытый перечень и на рынке более не имеется Наборов реагентов иммунохроматографических для качественного выявления антигенов вируса 8ЛК.8-СоУ- 2 в образцах назофарингеальных мазков человека иных производителей.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заказчиком представлена сравнительная таблица 2 товаров 2 различных производителей (ЗАО «ЭКОлаб» и ООО «Имбиан Лаб»), соответствующих в полной мере потребности заказчика, изложенной в описании объекта закупки, и инструкции, на основании которых такая таблица была составлена заказчиком.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Комиссия отмечает, что тесты ООО «Имбиан Лаб» согласно представленной заказчиком инструкции, заверенной печатью и подписью генерального директора ООО «Имбиан Лаб», соответствуют потребности заказчик по всем запрашиваемым параметрам вопреки доводам подателя жалобы о несоответствии таковых, основанным на представленной инструкции, не имеющей такого надлежащего заверения.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Помимо указанного Комиссией установлено, что согласно сведениям Протокола подведения итогов определения поставщика (подрядчика, исполнителя) от 20.09.2024 №ИЭА1 на участие в аукционе подано три заявки, две из которых признаны аукционной комиссией соответствующими требованиям извещения о закупке и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 изложенное, Комиссия приходит к выводу о надлежащем установлении в извещении об осуществлении закупки требований к поставляемому товару, соответствующих продукции различных производителей.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 о том, что действия уполномоченного органа, заказчика не противоречат положениям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Комиссия сообщает о том, что в соответствии с частью 1 статьи 2 Закона о контрактной системе Закон о защите конкуренции не входит в систему законодательства о контрактной системе, поэтому Комиссия не может давать оценку действий уполномоченного органа, заказчика при проведении закупки на предмет наличия признаков нарушения Закона о защите конкуренции.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жалоба не содержит доказательств нарушения субъектами контроля антимонопольных требований к торгам,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в связи с нарушением запретов, установленных Законом о защите конкуренции.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хозяйствующий субъект обладает доказательствами, свидетельствующими о наличии признаков нарушения Закона о защите конкуренции, обращения (заявления)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требованиями, установленными статьей 44 Закона о защите конкуренции.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 решила признать жалобу ООО «Фалкон Био»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6116320</wp:posOffset>
                </wp:positionH>
                <wp:positionV relativeFrom="paragraph">
                  <wp:posOffset>12700</wp:posOffset>
                </wp:positionV>
                <wp:extent cx="1078865" cy="21653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А.Р. Мулагалеев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1.60000000000002pt;margin-top:1.pt;width:84.950000000000003pt;height:17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А.Р. Мулагалеев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Шмыгина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69" w:right="536" w:bottom="1151" w:left="110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10031730</wp:posOffset>
              </wp:positionV>
              <wp:extent cx="647065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2024-16326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89.89999999999998pt;width:509.5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2024-16326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10025380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2024-16326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399999999999999pt;margin-top:789.39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2024-16326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