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Филиалу ФГУП «Охрана»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Росгвардии по Красноярскому краю ул. Новая Заря, 14А, г. Красноярск, 660028</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кга8поуаг8к@Гдир-оЬгапа.ги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 «Многофункциональный центр предоставления государственных и муниципальных услуг»</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9 Мая, д. 12, пом. 462</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Красноярск, 660125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тГс@24тГс.ш; ^81атди1оVа@24т^с.ш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Агентству государственного заказа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Красноярского края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пр-т Мира, д. 10, оф. 53</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Красноярск, 660049</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адх_рпет@таП.ги; адх 1та81о\@1таП.ги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«Сбербанк-АСТ»</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088" w:bottom="1198" w:left="1140" w:header="0" w:footer="3" w:gutter="0"/>
          <w:pgNumType w:start="1"/>
          <w:cols w:num="2" w:space="859"/>
          <w:noEndnote/>
          <w:titlePg/>
          <w:rtlGutter w:val="0"/>
          <w:docGrid w:linePitch="360"/>
        </w:sectPr>
      </w:pPr>
      <w:r>
        <w:rPr>
          <w:color w:val="000000"/>
          <w:spacing w:val="0"/>
          <w:w w:val="100"/>
          <w:position w:val="0"/>
          <w:sz w:val="24"/>
          <w:szCs w:val="24"/>
          <w:shd w:val="clear" w:color="auto" w:fill="auto"/>
          <w:lang w:val="ru-RU" w:eastAsia="ru-RU" w:bidi="ru-RU"/>
        </w:rPr>
        <w:t>ко@8ЬегЬапк-а81.ги</w:t>
      </w: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5" w:right="0" w:bottom="1177"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№024/06/106-2956/2024</w:t>
      </w:r>
    </w:p>
    <w:p>
      <w:pPr>
        <w:pStyle w:val="Style13"/>
        <w:keepNext w:val="0"/>
        <w:keepLines w:val="0"/>
        <w:widowControl w:val="0"/>
        <w:shd w:val="clear" w:color="auto" w:fill="auto"/>
        <w:tabs>
          <w:tab w:pos="8765"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25 сентября 2024 года</w:t>
        <w:tab/>
        <w:t>г. Красноярск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Врио руководителя, члены Комиссии: М.А. Грицай, начальник отдела, Е.М. Хоменко, главный государственный инспектор (далее — Комиссия), рассмотрев жалобу филиала ФГУП «Охрана» Росгвардии по Красноярскому краю (далее - податель жалобы) на действия комиссии по осуществлению закупок Агентства государственного заказа Красноярского края (далее - котировочная комиссия, уполномоченный орган) при проведении запроса котировок в электронной форме ЗК-№-15284/24 «Оказание услуг охраны объекта СП КГБУ «МФЦ», расположенного по адресу: г. Красноярск, ул. Кирова, д. 43» с извещением № 0119200000124014650 (далее - электронный запрос котировок), размещенного на электронной площадке АО «Сбербанк-АСТ»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котировочной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электронного запроса котировок.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заказчика — КГБУ «Многофункциональный центр предоставления государственных и муниципальных услуг» (далее — заказчик),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36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лично присутствовали</w:t>
      </w:r>
    </w:p>
    <w:p>
      <w:pPr>
        <w:pStyle w:val="Style15"/>
        <w:keepNext/>
        <w:keepLines/>
        <w:widowControl w:val="0"/>
        <w:shd w:val="clear" w:color="auto" w:fill="auto"/>
        <w:bidi w:val="0"/>
        <w:spacing w:before="0" w:after="0" w:line="240" w:lineRule="auto"/>
        <w:ind w:left="0" w:right="0" w:firstLine="0"/>
        <w:jc w:val="both"/>
        <w:rPr>
          <w:sz w:val="24"/>
          <w:szCs w:val="24"/>
        </w:rPr>
      </w:pPr>
      <w:bookmarkStart w:id="0" w:name="bookmark0"/>
      <w:r>
        <w:rPr>
          <w:color w:val="000000"/>
          <w:spacing w:val="0"/>
          <w:w w:val="100"/>
          <w:position w:val="0"/>
          <w:sz w:val="48"/>
          <w:szCs w:val="48"/>
          <w:shd w:val="clear" w:color="auto" w:fill="auto"/>
          <w:lang w:val="ru-RU" w:eastAsia="ru-RU" w:bidi="ru-RU"/>
        </w:rPr>
        <w:t>111111111111111111111111</w:t>
      </w:r>
      <w:bookmarkEnd w:id="0"/>
      <w:r>
        <w:rPr>
          <w:color w:val="000000"/>
          <w:spacing w:val="0"/>
          <w:w w:val="100"/>
          <w:position w:val="0"/>
          <w:sz w:val="48"/>
          <w:szCs w:val="48"/>
          <w:shd w:val="clear" w:color="auto" w:fill="auto"/>
          <w:lang w:val="ru-RU" w:eastAsia="ru-RU" w:bidi="ru-RU"/>
        </w:rPr>
        <w:t xml:space="preserve"> </w:t>
      </w:r>
      <w:r>
        <w:rPr>
          <w:rStyle w:val="CharStyle14"/>
        </w:rPr>
        <w:t>представители уполномоченного органа, котировочной комиссии, заказчика, подателя жалобы, надлежащим образом подтвердившие свои личности и полномочия.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по мнению подателя жалобы, котировочной комиссией были совершены неправомерные действия по признанию победителем электронного запроса котировок, поскольку заказчик является объектом, подлежащим государственной охране в силу пункта 1 Перечня, утвержденного постановлением Правительства РФ от 14.08.1992 № 587, следовательно, общества с ограниченной ответственностью частные охранные организации не имеют полномочий на выполнение государственной охраны объектов, перечисленных в указанном Перечне, что подтверждено судебной практикой по делу № А60-15677/2023.</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котировочной комиссией, уполномоченным органом, заказчиком были представлены письменные возражения, сообщающие о том, что котировочной комиссией не было допущено нарушений требований законодательства о контрактной системе в сфере закупок при рассмотрении заявок на участие в электронном запросе котировок. Кроме того, по мнению заказчика, котировочной комиссии, уполномоченного органа, заказчик не является объектом, подлежащим государственной охране в силу пункта 1 Перечня, утвержденного постановлением Правительства РФ от 14.08.1992 № 587.</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у заказчика потребностью уполномоченным органом были совершены действия по определению поставщика (подрядчика, исполнителя) путем проведения электронного запроса котировок с установлением начальной (максимальной) цены контракта в размере 526 457,73 рублей.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части 1 статьи 50 Закона о контрактной системе электронный запрос котировок начинается с размещения в ЕИС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электронный документ «Требования к содержанию, составу заявки на участие в электронном запросе котировок», являющийся приложением к извещению о проведении электронного запроса котировок, Комиссия установила, что участнику закупки надлежало представить в составе заявки информацию и документы, предусмотренные подпунктами «м» - «п» пункта 1, пунктом 3 части 1 статьи 43 Закона о контрактной системе, что само себе не противоречит требованиям части 1 статьи 50 Закона о контрактной системе, учитывая объект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 в пункте 1.12 электронного документа «Требования к содержанию, составу заявки на участие в электронном запросе котировок» было предусмотрено представление в составе заявки в качестве документов, подтверждающих соответствие участника закупки требованиям, установленным пунктом 1 части 1 статьи 31 Закона о контрактной системе, следующих документов:</w:t>
      </w:r>
    </w:p>
    <w:p>
      <w:pPr>
        <w:pStyle w:val="Style13"/>
        <w:keepNext w:val="0"/>
        <w:keepLines w:val="0"/>
        <w:widowControl w:val="0"/>
        <w:numPr>
          <w:ilvl w:val="0"/>
          <w:numId w:val="1"/>
        </w:numPr>
        <w:shd w:val="clear" w:color="auto" w:fill="auto"/>
        <w:tabs>
          <w:tab w:pos="88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документ, подтверждающий право участника оказывать услуги охраны в соответствии с законодательством о войсках национальной гвардии РФ, вневедомственной охране или выписка из реестра лицензий или копия акта лицензирующего органа или иной документ, подтверждающий наличие записи в реестре лицензий на осуществление частной охранной деятельности с предоставлением следующего вида услуг:</w:t>
      </w:r>
    </w:p>
    <w:p>
      <w:pPr>
        <w:pStyle w:val="Style13"/>
        <w:keepNext w:val="0"/>
        <w:keepLines w:val="0"/>
        <w:widowControl w:val="0"/>
        <w:numPr>
          <w:ilvl w:val="0"/>
          <w:numId w:val="3"/>
        </w:numPr>
        <w:shd w:val="clear" w:color="auto" w:fill="auto"/>
        <w:tabs>
          <w:tab w:pos="20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охрана объектов и (или) имущества, а также обеспечение внутриобъектового и пропускного </w:t>
      </w:r>
      <w:r>
        <w:rPr>
          <w:color w:val="000000"/>
          <w:spacing w:val="0"/>
          <w:w w:val="100"/>
          <w:position w:val="0"/>
          <w:sz w:val="24"/>
          <w:szCs w:val="24"/>
          <w:shd w:val="clear" w:color="auto" w:fill="auto"/>
          <w:lang w:val="ru-RU" w:eastAsia="ru-RU" w:bidi="ru-RU"/>
        </w:rPr>
        <w:t>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ч.3 ст. 11 Закона РФ от 11.03.1992 № 2487-1 «О частной детективной и охранной деятельности в Российской Федерации» (далее — Закон о частной детективной и охранной деятельности в РФ);</w:t>
      </w:r>
    </w:p>
    <w:p>
      <w:pPr>
        <w:pStyle w:val="Style13"/>
        <w:keepNext w:val="0"/>
        <w:keepLines w:val="0"/>
        <w:widowControl w:val="0"/>
        <w:numPr>
          <w:ilvl w:val="0"/>
          <w:numId w:val="3"/>
        </w:numPr>
        <w:shd w:val="clear" w:color="auto" w:fill="auto"/>
        <w:tabs>
          <w:tab w:pos="84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pPr>
        <w:pStyle w:val="Style13"/>
        <w:keepNext w:val="0"/>
        <w:keepLines w:val="0"/>
        <w:widowControl w:val="0"/>
        <w:numPr>
          <w:ilvl w:val="0"/>
          <w:numId w:val="1"/>
        </w:numPr>
        <w:shd w:val="clear" w:color="auto" w:fill="auto"/>
        <w:tabs>
          <w:tab w:pos="8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копия разрешения на хранение и использование оружия и патронов к нему с приложением списка номерного учета оружия с указанием вида, модели, калибра, серии, номера каждой единицы оружия, разрешенного к хранению и использованию(указанный документ войсками национальной гвардии РФ не предоставляется).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3 статьи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13"/>
        <w:keepNext w:val="0"/>
        <w:keepLines w:val="0"/>
        <w:widowControl w:val="0"/>
        <w:numPr>
          <w:ilvl w:val="0"/>
          <w:numId w:val="5"/>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7"/>
        </w:numPr>
        <w:shd w:val="clear" w:color="auto" w:fill="auto"/>
        <w:tabs>
          <w:tab w:pos="87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numPr>
          <w:ilvl w:val="0"/>
          <w:numId w:val="7"/>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решения, предусмотренного подпунктом «а» пункта 1 части 3 статьи 50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13"/>
        <w:keepNext w:val="0"/>
        <w:keepLines w:val="0"/>
        <w:widowControl w:val="0"/>
        <w:numPr>
          <w:ilvl w:val="0"/>
          <w:numId w:val="5"/>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18.09.2024 №ИЗК1 на участие поступило 4 заявки (идентификационные номера 107, 211, 165, 100), в отношении которых котировочной комиссией было принято решение о признании таких заявок на участие в закупке соответствующими извещению об осуществлении закупки. При этом, по результатам подведения итогов определения поставщика (подрядчика, исполнителя) победителем запроса котировок был признан участник закупки с идентификационным номером заявки 107, заявка на участие в закупке которого соответствует требованиям, установленным в извещении об осуществлении закупки, с предложением о цене контракта /суммы цен единиц товара, работы, услуги 184 604,00 руб. (сто восемьдесят четыре тысячи шестьсот четыре рубля ноль копеек).</w:t>
      </w:r>
    </w:p>
    <w:p>
      <w:pPr>
        <w:pStyle w:val="Style13"/>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305" w:right="539" w:bottom="1177" w:left="1099"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Рассмотрев фактическое содержание заявки участника закупки с идентификационным номером заявки 107, Комиссия установила, что таким участником закупки была представлена информация и документы, предусмотренные подпунктами «м» - «п» пункта 1, пунктом 3 части 1</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статьи 43 Закона о контрактной системе, в том числе, представлены в соответствии с пунктом 1.12 электронного документа «Требования к содержанию, составу заявки на участие в электронном запросе котировок» извещения о проведении электронного запроса котировок:</w:t>
      </w:r>
    </w:p>
    <w:p>
      <w:pPr>
        <w:pStyle w:val="Style13"/>
        <w:keepNext w:val="0"/>
        <w:keepLines w:val="0"/>
        <w:widowControl w:val="0"/>
        <w:numPr>
          <w:ilvl w:val="0"/>
          <w:numId w:val="9"/>
        </w:numPr>
        <w:shd w:val="clear" w:color="auto" w:fill="auto"/>
        <w:tabs>
          <w:tab w:pos="87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выписка из реестра лицензий и копия акта лицензирующего органа, подтверждающих наличие записи в реестре лицензий на осуществление частной охранной деятельности с предоставлением следующего вида услуг:</w:t>
      </w:r>
    </w:p>
    <w:p>
      <w:pPr>
        <w:pStyle w:val="Style13"/>
        <w:keepNext w:val="0"/>
        <w:keepLines w:val="0"/>
        <w:widowControl w:val="0"/>
        <w:numPr>
          <w:ilvl w:val="0"/>
          <w:numId w:val="11"/>
        </w:numPr>
        <w:shd w:val="clear" w:color="auto" w:fill="auto"/>
        <w:tabs>
          <w:tab w:pos="7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ч.3 ст. 11 Закона о частной детективной и охранной деятельности в РФ;</w:t>
      </w:r>
    </w:p>
    <w:p>
      <w:pPr>
        <w:pStyle w:val="Style13"/>
        <w:keepNext w:val="0"/>
        <w:keepLines w:val="0"/>
        <w:widowControl w:val="0"/>
        <w:numPr>
          <w:ilvl w:val="0"/>
          <w:numId w:val="11"/>
        </w:numPr>
        <w:shd w:val="clear" w:color="auto" w:fill="auto"/>
        <w:tabs>
          <w:tab w:pos="7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pPr>
        <w:pStyle w:val="Style13"/>
        <w:keepNext w:val="0"/>
        <w:keepLines w:val="0"/>
        <w:widowControl w:val="0"/>
        <w:numPr>
          <w:ilvl w:val="0"/>
          <w:numId w:val="9"/>
        </w:numPr>
        <w:shd w:val="clear" w:color="auto" w:fill="auto"/>
        <w:tabs>
          <w:tab w:pos="8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копия разрешения на хранение и использование оружия и патронов к нему с приложением списка номерного учета оружия с указанием вида, модели, калибра, серии, номера каждой единицы оружия, разрешенного к хранению и использованию.</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Анализ фактического содержания заявок иных участников электронного запроса котировок показал Комиссии, что такими участниками закупки также были представлены информация и документы, предусмотренные подпунктами «м» - «п» пункта 1, пунктом 3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Установив совокупность вышеизложенных обстоятельств, Комиссия пришла к выводу о том, что, приняв указанное в протоколе подведения итогов определения поставщика (подрядчика, исполнителя) решение о признании заявок с идентификационными номерами 107, 211, 165, 100 на участие в закупке соответствующими извещению об осуществлении закупки, о признании победителем электронного запроса котировок участника закупки с идентификационным номером заявки 107, котировочная комиссия не допустила нарушения требований Закона о контрактной системе, с учетом вышеизложенных в настоящем решении выводов Комиссии, основанных на непосредственном исследовании фактического содержания заявок участников закупки и сопоставлении такого содержания с требованиями извещения о проведении электронного запроса котировок.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доводы жалобы о проведении котировочной комиссией процедуры рассмотрения заявок на участие в электронном запросе котировок с нарушением требований законодательства о контрактной системе в сфере закупок не находят своего подтверждения при рассмотрении жалобы по существу, в связи с чем жалоба признается Комиссией необоснованной.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информирует подателя жалобы о том, что в силу пункта 1 части 2 статьи 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 Таким образом, учитывая факт истечения срока подачи заявок на участие в электронном запросе котировок 17.09.2024 в 08:00, у Комиссии отсутствуют правовые основания для рассмотрения довода подателя жалобы о наличии в извещении о проведении электронного запроса котировок неправомерных требований по существу в рамках административной процедуры, предусмотренной в отношении рассмотрения жалоб, поданных в порядке главы 6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в ходе проведения внеплановой проверки действий субъектов контроля, на основании части 15 статьи 99 Закона о контрактной системе Комиссия, рассмотрев сами по себе требования, установленные заказчиком к участникам закупки и к содержанию заявки на участие в электронном запросе котировок извещения о его проведении, пришла к следующим выводам.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(часть 2 статьи 42 Закона о контрактной системе).</w:t>
      </w:r>
    </w:p>
    <w:p>
      <w:pPr>
        <w:pStyle w:val="Style13"/>
        <w:keepNext w:val="0"/>
        <w:keepLines w:val="0"/>
        <w:widowControl w:val="0"/>
        <w:shd w:val="clear" w:color="auto" w:fill="auto"/>
        <w:bidi w:val="0"/>
        <w:spacing w:before="0" w:after="0" w:line="336" w:lineRule="auto"/>
        <w:ind w:left="0" w:right="0" w:firstLine="58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запроса котировок, сформированных с использованием ЕИС при заполнении экранных форм веб-интерфейса ЕИС 2024-16427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услуг охраны объекта СП КГБУ «МФЦ», расположенного по адресу: г. Красноярск, ул. Кирова, д. 43 с применением позиций КТРУ 80.10.12.000-00000005 «Услуги частной охраны (Охранный (технический) мониторинг)» и 80.10.12.000-00000003 «Услуги частной охраны (Выставление поста охраны)».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которое, в том числе, должно содержать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 (пункт 12 части 1 статьи 42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качестве электронного документа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выше по тексту настоящего решения было установлено, что в извещении о проведении электронного запроса котировок к участникам закупки, а также в требованиях к составу заявки на участи в электронном запросе котировок в качестве документов, подтверждающих соответствие участника закупки требованиям, установленным пунктом 1 части 1 статьи 31 Закона о контрактной системе, было установлено требование о представлении наряду с документами, подтверждающими право участника оказывать услуги охраны в соответствии с законодательством о войсках национальной гвардии РФ, вневедомственной охране, следующих документов: выписка из реестра лицензий или копия акта лицензирующего органа или иной документ, подтверждающий наличие записи в реестре лицензий на осуществление частной охранной деятельности с предоставлением видов услуг, перечисленных выше по тексту настоящего решения.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Рассматривая указанные действия заказчика при формировании поименованных положений извещения о проведении электронного запроса котировок Комиссия считает необходимым принять во внимание следующую совокупность обстоятельств.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абзацем 3 статьи 11 Закона о частной детективной и охранной деятельности в РФ частная охранная деятельность не распространяется на объекты государственной охраны и охраняемые объекты, предусмотренные Федеральным законом от 27.05.1996 № 57-ФЗ «О государственной охране» (далее - Федеральный закон от 27.05.1996 № 57-ФЗ), а также на объекты, перечень которых утверждается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14.08.1992 № 587 «Вопросы частной детективной (сыскной) и частной охранной деятельности» утвержден Перечень объектов, на которые частная охранная деятельность не распространяется (далее - Перечень объектов).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содержании жалобы податель жалобы полагает, что заказчик является объектом, подлежащим государственной охране в силу пункта 1 Перечня объектов.</w:t>
      </w:r>
    </w:p>
    <w:p>
      <w:pPr>
        <w:pStyle w:val="Style13"/>
        <w:keepNext w:val="0"/>
        <w:keepLines w:val="0"/>
        <w:widowControl w:val="0"/>
        <w:shd w:val="clear" w:color="auto" w:fill="auto"/>
        <w:bidi w:val="0"/>
        <w:spacing w:before="0" w:after="0" w:line="336" w:lineRule="auto"/>
        <w:ind w:left="0" w:right="0" w:firstLine="580"/>
        <w:jc w:val="both"/>
      </w:pPr>
      <w:r>
        <w:rPr>
          <w:color w:val="000000"/>
          <w:spacing w:val="0"/>
          <w:w w:val="100"/>
          <w:position w:val="0"/>
          <w:sz w:val="24"/>
          <w:szCs w:val="24"/>
          <w:shd w:val="clear" w:color="auto" w:fill="auto"/>
          <w:lang w:val="ru-RU" w:eastAsia="ru-RU" w:bidi="ru-RU"/>
        </w:rPr>
        <w:t>Вместе с тем, Комиссия обращает внимание на то, что согласно пункту 11 Перечня объектов частная охранная деятельность не распространяется на объекты по производству и хранению 2024-16427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государственных наград, монет, денежных знаков и защищенной полиграфической продукции.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ГОСТ Р 54109-2010 «Национальный стандарт Российской Федерации. Защитные технологии. Продукция полиграфическая защищенная. Общие технические требования» разработан в целях установления требований к защищенной полиграфической продукции, пунктом 3.1 которого определено, что защищенной полиграфической продукцией является полиграфическая продукция, содержащая не менее двух элементов защиты от подделки и изготовленная с применением способов защиты, предотвращающих полную или частичную подделку этой продукции, для которой предусмотрена необходимость защиты. Для защиты такой продукции применяют спецбумагу, спецкраски, а также полиграфические, голографические, информационные, микропроцессорные и иные способы защиты.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Постановлению Правительства РФ от 18.11.2005 № 687 «Об утверждении образцов и описания бланков паспорта гражданина Российской Федерации, дипломатического паспорта гражданина Российской Федерации и служебного паспорта гражданина Российской Федерации, удостоверяющих личность гражданина Российской Федерации за пределами территории Российской Федерации, содержащих электронные носители информации» бланки паспорта гражданина Российской Федерации, дипломатического паспорта гражданина Российской Федерации и служебного паспорта гражданина Российской Федерации, удостоверяющих личность гражданина Российской Федерации за пределами территории Российской Федерации, содержащих электронные носители, изготавливаются по единому образцу, соответствующему международным требованиям и стандартам, предъявляемым к машиночитаемым проездным документам, и являются защищенной полиграфической продукцией уровня «А».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Организация деятельности многофункционального центра по предоставлению государственных и муниципальных услуг регламентирована Федеральным законом от 27.07.2010 № 210-ФЗ «Об организации предоставления государственных и муниципальных услуг» (далее — Закон № 210-ФЗ), а также Правилами, утвержденными постановлением Правительства РФ от 22.12.2012 № 1376 «Об утверждении Правил организации деятельности многофункциональных центров предоставления государственных и муниципальных услуг» (далее — Правила).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частям 1, 3 статьи 15 Закона № 210-ФЗ и пункту 1 Правил многофункциональный центр организует предоставление государственных и муниципальных услуг по принципу «одного окна» в соответствии с соглашениями о взаимодействии с федеральными органами исполнительной власти, органами государственных внебюджетных фондов, органами исполнительной власти субъектов РФ, органами местного самоуправления.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ходе проведения заседания Комиссии по рассмотрению жалобы по существу на соответствующий вопрос председателя Комиссии представители заказчика пояснили, что заказчик осуществляет свою деятельность в соответствии с Правилами, при этом подтвердили, что структурные подразделения заказчика принимают участие в осуществлении услуг по выдаче, замене паспортов гражданина РФ, удостоверяющих личность гражданина РФ как на территории РФ, так и за пределами территории РФ.</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5 статьи 2 Закона № 210-ФЗ многофункциональный центр предоставления государственных и муниципальных услуг (далее - многофункциональный центр) - организация, созданная в организационно-правовой форме государственного или муниципального учреждения (в том числе являющаяся автономным учреждением), отвечающая требованиям, установленным Законом № 210-ФЗ, и уполномоченная на организацию предоставления государственных и муниципальных услуг, в том числе в электронной форме, по принципу «одного окна».</w:t>
      </w:r>
    </w:p>
    <w:p>
      <w:pPr>
        <w:pStyle w:val="Style13"/>
        <w:keepNext w:val="0"/>
        <w:keepLines w:val="0"/>
        <w:widowControl w:val="0"/>
        <w:shd w:val="clear" w:color="auto" w:fill="auto"/>
        <w:bidi w:val="0"/>
        <w:spacing w:before="0" w:after="0" w:line="269" w:lineRule="auto"/>
        <w:ind w:left="0" w:right="0" w:firstLine="580"/>
        <w:jc w:val="both"/>
        <w:sectPr>
          <w:footerReference w:type="default" r:id="rId11"/>
          <w:footnotePr>
            <w:pos w:val="pageBottom"/>
            <w:numFmt w:val="decimal"/>
            <w:numRestart w:val="continuous"/>
          </w:footnotePr>
          <w:pgSz w:w="11900" w:h="16840"/>
          <w:pgMar w:top="1119" w:right="541" w:bottom="525" w:left="1105" w:header="691" w:footer="97" w:gutter="0"/>
          <w:cols w:space="720"/>
          <w:noEndnote/>
          <w:rtlGutter w:val="0"/>
          <w:docGrid w:linePitch="360"/>
        </w:sectPr>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утвержден Перечень государственных услуг, предоставление которых организуется по принципу «одного окна» в многофункциональных центрах предоставления государственных и муниципальных услуг федеральными органами 2024-16427</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исполнительной власти и органами государственных внебюджетных фондов.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указанный Перечень услуг включены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 оформлению и выдаче паспортов гражданина Российской Федерации, удостоверяющих личность гражданина Российской Федерации за пределами территории Российской Федерации, выдаче водительских удостоверений (пункты 3-6 Перечня).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Принимая во внимание, что осуществление вышеперечисленных государственных услуг связано с нахождением на хранении паспортов граждан, которые относятся к защищенной полиграфической продукции, Комиссия пришла к выводу, что частная охранная деятельность не распространяется на охрану объектов многофункциональных центров.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в ходе проведения заседания Комиссии по рассмотрению жалобы по существу представители заказчика на соответствующий вопрос председателя Комиссии подтвердили, что в отделениях заказчика имеются специальные помещения для хранения паспортов граждан РФ, удостоверяющих личность гражданина РФ как на территории РФ, так и за пределами территории РФ.</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этой связи Комиссия отмечает, что указанное обстоятельство имеет взаимосвязь с содержанием пункта 17(1) Правил, однако поскольку Закон Российской Федерации обладает большей юридической силой, чем Постановление Правительства Российской Федерации (в данном случае Правила утверждены постановлением Правительства РФ от 22.12.2012 № 1376), то в данном случае подлежит применению норма абзаца 3 статьи 11 Закона о частной детективной и охранной деятельности в РФ, предусматривающая запрет на частную охрану объектов, указанных в Перечне объектов, на которые частная охранная деятельность не распространяется, к которым, в том числе относятся объекты по производству и хранению государственных наград, монет, денежных знаков и защищенной полиграфической продукции.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Вышеуказанные выводы Комиссии согласуются с выводами, изложенными в судебных актах, принятых на основании установления сопоставимых обстоятельств в рамках рассмотрения дела № А60-15677/2023 и вступивших в законную силу, что подтверждается решением Арбитражного суда Свердловской области от 07.07.2023, Определением Верховного суда РФ № 309-ЭС24-3636 от 27.03.2024.</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заказчиком при формировании извещения о проведении электронного запроса котировок в нарушение требований пункта 12 части 1, пункта 3 части 2 статьи 42 Закона о контрактной системе были совершены действия по установлению требования к участникам закупки о представлении наряду с документами, подтверждающими право участника оказывать услуги охраны в соответствии с законодательством о войсках национальной гвардии РФ, вневедомственной охране, документов, подтверждающих осуществление частной охранной деятельности с предоставлением видов услуг, перечисленных выше по тексту настоящего решения. Также указанные действия заказчика содержат признаки состава административного правонарушения, ответственность за которое предусмотрена частью 1.4 статьи 7.30 Кодекса Российской Федерации об административных правонарушениях.</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22 статьи 99, частью 8 статьи 106 Закона о контрактной системе, Комиссия Красноярского УФАС России приняла решение:</w:t>
      </w:r>
    </w:p>
    <w:p>
      <w:pPr>
        <w:pStyle w:val="Style13"/>
        <w:keepNext w:val="0"/>
        <w:keepLines w:val="0"/>
        <w:widowControl w:val="0"/>
        <w:numPr>
          <w:ilvl w:val="0"/>
          <w:numId w:val="13"/>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филиала ФГУП «Охрана» Росгвардии по Красноярскому краю необоснованной.</w:t>
      </w:r>
    </w:p>
    <w:p>
      <w:pPr>
        <w:pStyle w:val="Style13"/>
        <w:keepNext w:val="0"/>
        <w:keepLines w:val="0"/>
        <w:widowControl w:val="0"/>
        <w:numPr>
          <w:ilvl w:val="0"/>
          <w:numId w:val="13"/>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требования пункта 12 части 1, пункта 3 части 2 статьи 42 Закона о контрактной системе.</w:t>
      </w:r>
    </w:p>
    <w:p>
      <w:pPr>
        <w:pStyle w:val="Style13"/>
        <w:keepNext w:val="0"/>
        <w:keepLines w:val="0"/>
        <w:widowControl w:val="0"/>
        <w:numPr>
          <w:ilvl w:val="0"/>
          <w:numId w:val="13"/>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целях устранения допущенного нарушения требований законодательства о контрактной системе в сфере закупок, прав и законных интересов участников закупки выдать заказчику предписание об устранении выявленных нарушений законодательства о контрактной системе в сфере закупок путем внесения изменений в извещение о проведении электронного запроса котировок.</w:t>
      </w:r>
      <w:r>
        <w:br w:type="page"/>
      </w:r>
    </w:p>
    <w:p>
      <w:pPr>
        <w:pStyle w:val="Style13"/>
        <w:keepNext w:val="0"/>
        <w:keepLines w:val="0"/>
        <w:widowControl w:val="0"/>
        <w:numPr>
          <w:ilvl w:val="0"/>
          <w:numId w:val="13"/>
        </w:numPr>
        <w:shd w:val="clear" w:color="auto" w:fill="auto"/>
        <w:tabs>
          <w:tab w:pos="105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Комиссии по осуществлению закупок, заказчику, оператору электронной площадки отменить все протоколы, составленные в ходе проведения электронного запроса котировок.</w:t>
      </w:r>
    </w:p>
    <w:p>
      <w:pPr>
        <w:pStyle w:val="Style13"/>
        <w:keepNext w:val="0"/>
        <w:keepLines w:val="0"/>
        <w:widowControl w:val="0"/>
        <w:numPr>
          <w:ilvl w:val="0"/>
          <w:numId w:val="13"/>
        </w:numPr>
        <w:shd w:val="clear" w:color="auto" w:fill="auto"/>
        <w:tabs>
          <w:tab w:pos="105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Продлить срок подачи заявок на участие в электронном запросе котировок не менее, чем на 3 дня, начиная со дня размещения извещения о проведении электронного запроса котировок.</w:t>
      </w:r>
    </w:p>
    <w:p>
      <w:pPr>
        <w:pStyle w:val="Style13"/>
        <w:keepNext w:val="0"/>
        <w:keepLines w:val="0"/>
        <w:widowControl w:val="0"/>
        <w:numPr>
          <w:ilvl w:val="0"/>
          <w:numId w:val="13"/>
        </w:numPr>
        <w:shd w:val="clear" w:color="auto" w:fill="auto"/>
        <w:tabs>
          <w:tab w:pos="106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w:t>
      </w:r>
    </w:p>
    <w:p>
      <w:pPr>
        <w:pStyle w:val="Style13"/>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4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6191885</wp:posOffset>
                </wp:positionH>
                <wp:positionV relativeFrom="paragraph">
                  <wp:posOffset>12700</wp:posOffset>
                </wp:positionV>
                <wp:extent cx="993775" cy="560705"/>
                <wp:wrapSquare wrapText="left"/>
                <wp:docPr id="7" name="Shape 7"/>
                <a:graphic xmlns:a="http://schemas.openxmlformats.org/drawingml/2006/main">
                  <a:graphicData uri="http://schemas.microsoft.com/office/word/2010/wordprocessingShape">
                    <wps:wsp>
                      <wps:cNvSpPr txBox="1"/>
                      <wps:spPr>
                        <a:xfrm>
                          <a:ext cx="993775" cy="560705"/>
                        </a:xfrm>
                        <a:prstGeom prst="rect"/>
                        <a:noFill/>
                      </wps:spPr>
                      <wps:txbx>
                        <w:txbxContent>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М.А. Грицай</w:t>
                            </w:r>
                          </w:p>
                        </w:txbxContent>
                      </wps:txbx>
                      <wps:bodyPr lIns="0" tIns="0" rIns="0" bIns="0">
                        <a:noAutoFit/>
                      </wps:bodyPr>
                    </wps:wsp>
                  </a:graphicData>
                </a:graphic>
              </wp:anchor>
            </w:drawing>
          </mc:Choice>
          <mc:Fallback>
            <w:pict>
              <v:shape id="_x0000_s1033" type="#_x0000_t202" style="position:absolute;margin-left:487.55000000000001pt;margin-top:1.pt;width:78.25pt;height:44.149999999999999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М.А. Грицай</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896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pStyle w:val="Style13"/>
        <w:keepNext w:val="0"/>
        <w:keepLines w:val="0"/>
        <w:widowControl w:val="0"/>
        <w:shd w:val="clear" w:color="auto" w:fill="auto"/>
        <w:bidi w:val="0"/>
        <w:spacing w:before="0" w:after="24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Исп.Хоменко Е.М. тел.8(391)2110144</w:t>
      </w:r>
    </w:p>
    <w:sectPr>
      <w:footerReference w:type="default" r:id="rId12"/>
      <w:footnotePr>
        <w:pos w:val="pageBottom"/>
        <w:numFmt w:val="decimal"/>
        <w:numRestart w:val="continuous"/>
      </w:footnotePr>
      <w:pgSz w:w="11900" w:h="16840"/>
      <w:pgMar w:top="1092" w:right="536" w:bottom="1139" w:left="1106" w:header="66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10033635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2024-16427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790.05000000000007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2024-16427</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2024-16427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10033635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2024-16427</w:t>
                          </w:r>
                        </w:p>
                      </w:txbxContent>
                    </wps:txbx>
                    <wps:bodyPr wrap="none" lIns="0" tIns="0" rIns="0" bIns="0">
                      <a:spAutoFit/>
                    </wps:bodyPr>
                  </wps:wsp>
                </a:graphicData>
              </a:graphic>
            </wp:anchor>
          </w:drawing>
        </mc:Choice>
        <mc:Fallback>
          <w:pict>
            <v:shape id="_x0000_s1035" type="#_x0000_t202" style="position:absolute;margin-left:56.850000000000001pt;margin-top:790.05000000000007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s>
</file>

<file path=docProps/core.xml><?xml version="1.0" encoding="utf-8"?>
<cp:coreProperties xmlns:cp="http://schemas.openxmlformats.org/package/2006/metadata/core-properties" xmlns:dc="http://purl.org/dc/elements/1.1/">
  <dc:title>Постановление Правительства РФ от 22.12.2012 N 1376(ред. от 23.03.2024)"Об утверждении Правил организации деятельности многофункциональных центров предоставления государственных и муниципальных услуг"</dc:title>
  <dc:subject/>
  <dc:creator/>
  <cp:keywords/>
</cp:coreProperties>
</file>