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45720</wp:posOffset>
                </wp:positionV>
                <wp:extent cx="2045335" cy="30162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0.049999999999997pt;margin-top:3.6000000000000001pt;width:161.05000000000001pt;height:23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469265</wp:posOffset>
                </wp:positionV>
                <wp:extent cx="2435225" cy="140843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0.09.2024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40257/24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3.450000000000003pt;margin-top:36.950000000000003pt;width:191.75pt;height:110.9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0.09.2024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40257/24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6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«Медицинские расходные материалы» те4хакирк!@дтай.сот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6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онкологии им. Н.Н. Блохина» Минздрава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11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о.1одV^пепко@^опс.^и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«Фабрикант»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6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7" w:bottom="602" w:left="5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т&amp;@ГаЪпкапкги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7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0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077/06/106-13162/2024 о нарушении</w:t>
        <w:br/>
        <w:t>законодательства о контрактной системе</w:t>
        <w:br/>
        <w:t>25.09.2024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1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</w:t>
        <w:tab/>
        <w:t>Управления Федеральной антимонопольной службы по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Москве по контролю в сфере закупок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онкологии им. Н.Н. Блохина» Минздрава России: Лукахиной Н.И. (по доверенности № 106/Д от 19.06.2024), Субботиной М.Н. (по доверенности № 852/Д от 27.09.2023),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«Медицинские расходные материалы», о времени и порядке заседания Комиссии уведомленных надлежащим образом Московским УФАС России посредством единой информационной системы,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«Медицинские расходные материалы» (далее — Заявитель) на действия ФГБУ «НМИЦ онкологии им. Н.Н. Блохина» Минздрава России (далее — Заказчик) при проведении электронного аукциона на право заключения контракта на поставку расходных материалов медицинского назначения одноразового применения (Закупка №0373100094324000913) (далее — аукцион), в соответствии с Федеральным законом от 05.04.2013 №44-ФЗ «О контрактной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02" w:left="1106" w:header="0" w:footer="3" w:gutter="0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111111111111111111III1111III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 проведении закупочной процедуры в нарушение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 ч.1 ст.33 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95" w:lineRule="auto"/>
        <w:ind w:left="0" w:right="0" w:firstLine="700"/>
        <w:jc w:val="both"/>
        <w:rPr>
          <w:sz w:val="22"/>
          <w:szCs w:val="22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730" w:right="541" w:bottom="327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основании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2024-45469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совокупности требований к характеристикам товара по «Электрод возвратный электрохирургический, одноразового использования, нестерильный. Идентификатор: 160860589» (п.2 в техническом задании) соответствует продукция единственного производителя - электроды СОУШГЕК (США), арт. Е7507 (регистрационное удостоверение № РЗН 2021/13920 от 21.02.2024 г.), в то время как совокупности требований по п. 1 технического задания соответствует продукция разных производителей. При этом, ограничивающими возможность предложения к поставке товаров иных производителей, по спорной позиции, помимо указанного в жалобе являются следующие требования: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7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Электрод должен иметь прямоугольную форму со сглаженными углами, с кабелем, прикрепленным в середине длинной стороны пластины: Наличие;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7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Неразъемный кабель должен представлять собой двухпроводниковый провод с плоским коннектором, длина: не более 2,7 метр.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что, согласно руководству по эксплуатации оборудования Гогсе Тпас1 (регистрационное удостоверение № ФСЗ 2011/10147 от 09.07.2020 г.) при приобретении возвратных электродов пациента и (или) активных инструментов других производителей потребителям следует получить от производителя подробные инструкции по эксплуатации и информацию по безопасности.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инструкцией на энергетическую платформу Уа11еу1аЬ ГТ-10 (регистрационное удостоверение № РЗН 2017/5614 от 19.02.2024 г.) одноразовые инструменты предназначены для использования только с совместимыми генераторами и энергетическими платформами СохасПеп (МесИгошс), а также, что перед использованием возвратного электрода пациента с СХЭМ производства стороннего производителя следует получить заявление производителя о совместимости возвратного электрода пациента с СХЭМ с данной системой.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на заседании Комиссии Управления представитель Заказчика пояснил, что производитель МеЛтошс для имеющегося у Заказчика оборудования на основании информационного письма (Исх. № В8-909 от 23.09. 2024 г.) сообщает, в том числе следующее: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Компания ООО «Медтроник» обращает внимание на то, что инструменты компании разрабатывались для последующего применения с инструментами и расходными материалами производства компании СогкНеп ^^с, 15 НатрзЫге 81гее1, Мат^еШ, МА 02048, Ц5А, которые имеют специальную конструкцию для поддержания работы технологий разработанных компанией.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Компания ООО Медтроник не гарантирует корректную и безопасную работу систем указанного выше оборудования при использовании инструментов и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расходных материалов производства других (не МеЖготсСопсНен) компаний, а также снимает с себя ответственность в случае выхода оборудования из строя в результате некорректной работы таких инструментов. Медтроник/Ковидиен не запрашивал и не проводил испытания на совместимость своего оборудования с оборудованием и/или инструментами и расходными материалами других производителей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использование одноразовых медицинских изделий иных производителей с электрохирургическим оборудованием Уа11еу1аЬ ГТ-10, Гогсе Тпас1. Гогсе ГХ имеющимся у Заказчика, производитель МеЛтоше не подтверждает и более того сообщает о рисках несовместимости товаров от иных производителей.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составления описания объекта закупки Заказчику неизвестно какие именно медицинские изделия, совместимые с имеющимся у Заказчика прибором, будут предложены участниками закупки (потенциальными поставщиками). При этом, предлагаемые медицинские изделия должны обеспечить выполнение требуемых Заказчику функций.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 Заявителем не было предоставлено, сведений, писем и регистрационных удостоверений на товары иных производителей, которые могли бы быть совместимыми с имеющимся оборудованием у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мнению Заказчика, описание объекта закупки сформулировано с учетом необходимости конечного результата - обеспечения лечебного учреждения необходимыми изделиями.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в соответствии с ч. 4 ст. 38 Федерального закона от 21.11.2011 № 323-ФЗ «Об основах охраны здоровья граждан в Российской Федерации» (далее — Закон №323-ФЗ)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3 ст. 38 Закона №323-ФЗ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 осуществляются в соответствии с разработанной производителем (изготовителем) медицинского изделия технической и (или) эксплуатационной документации.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позиции Росздравнадзора изложенной в письме от 31.03.2023 № 10- 18368/23 в соответствии с пунктом 11 Особенностей обращения, включая особенности государственной регистрации,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характера, утвержденных постановлением Правительства Российской Федерации от 01.04.2022 № 552 (далее - Особенности), возможно применение медицинского изделия, производителем (изготовителем) которого в эксплуатационной документации установлен ограниченный перечень расходных материалов,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расходным материалом иного производителя (изготовителя),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применения с данным медицинским изделием. При этом совместное применение медицинского изделия с расходным материалом осуществляется с учетом особенностей, установленных в эксплуатационной документации производителя (изготовителя) на расходный материал.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11(1) особенностей допускается проведение технического обслуживания медицинских изделий с использованием комплектующих или принадлежностей, не предусмотренных в их технической и (или) эксплуатационной документации производителя (изготовителя), если безопасность совместного использования подтверждена техническими испытаниями и в случае применимости - токсикологическими исследованиями, проведенными федеральным государственным бюджетным учреждением «Всероссийский научно-исследовательский и испытательный институт медицинской техники» Федеральной службы по надзору в сфере здравоохранения, а также клиническими испытаниями, проведенными в порядке, установленном в соответствии с ч. 8 ст. 38 Закона №323-ФЗ.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если у Заказчика имеются определенные обоснованные потребности в получении тех или иных товаров, он вправе устанавливать соответствующие требования к товарам, но таким образом, чтобы такие требования не ограничивали количество участников закупки, и в составе одного лота не закупались наряду с товарами, производимыми неограниченным кругом производителей уникальные товары единственного производителя, отсутствующие в свободном доступе, в том числе для приобретения которых необходимо заключать определенные договоры и соглашения с производителем оборудования.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отмечает, что в случае, если при закупке товаров среди требуемых к поставке позиций присутствует хотя бы один товар, требования к характеристикам которого установлены таким образом, что совокупности таких требований отвечает только товар единственного производителя, то положения извещения о такой закупке имеют признаки ограничения количества участников закупки, так как закупить и поставить уникальный товар имеет возможность только ограниченный круг лиц, имеющий с производителем такого товара партнерские отношения и/или иные договоры о сотрудничестве.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в случае невозможности участников закупки закупить и поставить требуемые Заказчику уникальные позиции наряду с иными товарами, указанная закупка будет проведена только для тех лиц, имеющих договорные отношения с определенным производителем товара, что непосредственно является ограничением круга потенциальных участников закупки, что напрямую запрещается нормами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помимо обжалуемых позиций в рамках данной конкурентной процедуры также закупаются иные изделия, характеристики которых не оспариваются, ввиду чего презюмируется, что по данным позициям описания объекта закупки к поставке возможны изделия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нескольких производителей.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основании имеющихся документов и сведений, Комиссия Управления приходит к выводу о нарушении Заказчиком положений п.1 ч.1 ст.33 Закона о контрактной системе в части включения в состав лота изделия конкретного производителя,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ч.4.1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«Медицинские расходные материалы» на действия ФГБУ «НМИЦ онкологии им. Н.Н. Блохина» Минздрава России.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п.1 ч.1 ст.33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729" w:right="533" w:bottom="842" w:left="109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92405" distL="0" distR="0" simplePos="0" relativeHeight="125829382" behindDoc="0" locked="0" layoutInCell="1" allowOverlap="1">
                <wp:simplePos x="0" y="0"/>
                <wp:positionH relativeFrom="page">
                  <wp:posOffset>730250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5pt;margin-top:10.pt;width:145.70000000000002pt;height:19.900000000000002pt;z-index:-125829371;mso-wrap-distance-left:0;mso-wrap-distance-top:1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4790" distB="0" distL="0" distR="1816735" simplePos="0" relativeHeight="125829384" behindDoc="0" locked="0" layoutInCell="1" allowOverlap="1">
            <wp:simplePos x="0" y="0"/>
            <wp:positionH relativeFrom="page">
              <wp:posOffset>3150235</wp:posOffset>
            </wp:positionH>
            <wp:positionV relativeFrom="paragraph">
              <wp:posOffset>224790</wp:posOffset>
            </wp:positionV>
            <wp:extent cx="292735" cy="34734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3534410</wp:posOffset>
                </wp:positionH>
                <wp:positionV relativeFrom="paragraph">
                  <wp:posOffset>292100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8.30000000000001pt;margin-top:23.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92405" distL="0" distR="0" simplePos="0" relativeHeight="125829385" behindDoc="0" locked="0" layoutInCell="1" allowOverlap="1">
                <wp:simplePos x="0" y="0"/>
                <wp:positionH relativeFrom="page">
                  <wp:posOffset>6042660</wp:posOffset>
                </wp:positionH>
                <wp:positionV relativeFrom="paragraph">
                  <wp:posOffset>127000</wp:posOffset>
                </wp:positionV>
                <wp:extent cx="113411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5.80000000000001pt;margin-top:10.pt;width:89.299999999999997pt;height:19.900000000000002pt;z-index:-125829368;mso-wrap-distance-left:0;mso-wrap-distance-top:1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40" w:right="0" w:firstLine="0"/>
        <w:jc w:val="left"/>
        <w:rPr>
          <w:sz w:val="11"/>
          <w:szCs w:val="11"/>
        </w:rPr>
      </w:pPr>
      <w:r>
        <w:rPr>
          <w:color w:val="E3E3E3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>00Е5ЕО2ЕА33995761 О5А45С83РВ9ЕЕО0Р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31.07.2025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30" w:right="532" w:bottom="111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194945" distL="0" distR="0" simplePos="0" relativeHeight="125829387" behindDoc="0" locked="0" layoutInCell="1" allowOverlap="1">
                <wp:simplePos x="0" y="0"/>
                <wp:positionH relativeFrom="page">
                  <wp:posOffset>730250</wp:posOffset>
                </wp:positionH>
                <wp:positionV relativeFrom="paragraph">
                  <wp:posOffset>114300</wp:posOffset>
                </wp:positionV>
                <wp:extent cx="134112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5pt;margin-top:9.pt;width:105.60000000000001pt;height:19.699999999999999pt;z-index:-125829366;mso-wrap-distance-left:0;mso-wrap-distance-top:9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090" distB="0" distL="0" distR="1816735" simplePos="0" relativeHeight="125829389" behindDoc="0" locked="0" layoutInCell="1" allowOverlap="1">
            <wp:simplePos x="0" y="0"/>
            <wp:positionH relativeFrom="page">
              <wp:posOffset>3150235</wp:posOffset>
            </wp:positionH>
            <wp:positionV relativeFrom="paragraph">
              <wp:posOffset>212090</wp:posOffset>
            </wp:positionV>
            <wp:extent cx="292735" cy="34734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3534410</wp:posOffset>
                </wp:positionH>
                <wp:positionV relativeFrom="paragraph">
                  <wp:posOffset>276225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8.30000000000001pt;margin-top:21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194945" distL="0" distR="0" simplePos="0" relativeHeight="125829390" behindDoc="0" locked="0" layoutInCell="1" allowOverlap="1">
                <wp:simplePos x="0" y="0"/>
                <wp:positionH relativeFrom="page">
                  <wp:posOffset>5872480</wp:posOffset>
                </wp:positionH>
                <wp:positionV relativeFrom="paragraph">
                  <wp:posOffset>114300</wp:posOffset>
                </wp:positionV>
                <wp:extent cx="1307465" cy="2501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62.40000000000003pt;margin-top:9.pt;width:102.95pt;height:19.699999999999999pt;z-index:-125829363;mso-wrap-distance-left:0;mso-wrap-distance-top:9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54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</w:t>
      </w:r>
      <w:r>
        <w:rPr>
          <w:color w:val="E3E3E3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>0092302А1Е2Р826946О4ЕЕР7722О2557ЕР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100" w:right="0" w:firstLine="0"/>
        <w:jc w:val="left"/>
      </w:pPr>
      <w:r>
        <w:drawing>
          <wp:anchor distT="0" distB="0" distL="114300" distR="1931035" simplePos="0" relativeHeight="125829392" behindDoc="0" locked="0" layoutInCell="1" allowOverlap="1">
            <wp:simplePos x="0" y="0"/>
            <wp:positionH relativeFrom="page">
              <wp:posOffset>3150235</wp:posOffset>
            </wp:positionH>
            <wp:positionV relativeFrom="paragraph">
              <wp:posOffset>88900</wp:posOffset>
            </wp:positionV>
            <wp:extent cx="292735" cy="34734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3534410</wp:posOffset>
                </wp:positionH>
                <wp:positionV relativeFrom="paragraph">
                  <wp:posOffset>153035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8.30000000000001pt;margin-top:12.05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540" w:right="0" w:firstLine="0"/>
        <w:jc w:val="left"/>
        <w:rPr>
          <w:sz w:val="11"/>
          <w:szCs w:val="11"/>
        </w:rPr>
      </w:pPr>
      <w:r>
        <w:rPr>
          <w:color w:val="E3E3E3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E3E3E3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00803Р817690Р8688001Р612СЗС6В74577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30" w:right="532" w:bottom="73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804.5pt;width:57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10323195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2024-45469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00000000000004pt;margin-top:812.85000000000002pt;width:56.899999999999999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2024-45469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201930</wp:posOffset>
              </wp:positionV>
              <wp:extent cx="6731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15.9pt;width:5.29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200660</wp:posOffset>
              </wp:positionV>
              <wp:extent cx="64135" cy="10668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8.80000000000001pt;margin-top:15.800000000000001pt;width:5.0499999999999998pt;height:8.4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8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Relationship Id="rId18" Type="http://schemas.openxmlformats.org/officeDocument/2006/relationships/image" Target="media/image5.jpeg"/><Relationship Id="rId19" Type="http://schemas.openxmlformats.org/officeDocument/2006/relationships/image" Target="media/image5.jpeg" TargetMode="External"/></Relationships>
</file>